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65577672" w:name="document"/>
    <w:bookmarkEnd w:id="65577672"/>
    <w:p/>
    <w:p>
      <w:pPr>
        <w:widowControl w:val="on"/>
        <w:pBdr/>
        <w:spacing w:before="0" w:after="280" w:line="240" w:lineRule="auto"/>
        <w:ind w:left="0" w:right="0"/>
        <w:jc w:val="left"/>
      </w:pPr>
      <w:r>
        <w:rPr>
          <w:rFonts w:ascii="Arial" w:hAnsi="Arial" w:eastAsia="Arial" w:cs="Arial"/>
          <w:color w:val="363A40"/>
          <w:sz w:val="24"/>
          <w:szCs w:val="24"/>
        </w:rPr>
        <w:t xml:space="preserve">Dokument-ID: 866009 | FORUM Media (red) - Erich
Rosenbach | Muster | Technische Checkliste</w:t>
      </w:r>
    </w:p>
    <w:p>
      <w:pPr>
        <w:widowControl w:val="on"/>
        <w:pBdr/>
        <w:spacing w:before="340" w:after="220" w:line="268" w:lineRule="auto"/>
        <w:ind w:left="0" w:right="0"/>
        <w:jc w:val="left"/>
        <w:outlineLvl w:val="0"/>
      </w:pPr>
      <w:r>
        <w:rPr>
          <w:rFonts w:ascii="Arial" w:hAnsi="Arial" w:eastAsia="Arial" w:cs="Arial"/>
          <w:b/>
          <w:bCs/>
          <w:color w:val="363A40"/>
          <w:sz w:val="36"/>
          <w:szCs w:val="36"/>
        </w:rPr>
        <w:t xml:space="preserve">Vorüberlegungen – Erkennen von
Abfallvermeidungspotenzialen</w:t>
      </w:r>
    </w:p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1"/>
      </w:tblGrid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Erkennen von Abfallvermeidungspotenzial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Vorbemerkung: Das Abfallvermeidungspotenzial im Betrieb kann
anhand verschiedener Mengengrößen festgestellt werden. Eine
Einschätzung erfolgt etwa durch:</w:t>
            </w:r>
          </w:p>
          <w:p>
            <w:pPr>
              <w:numPr>
                <w:ilvl w:val="0"/>
                <w:numId w:val="580048835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Ermittlung der Abfallmengen</w:t>
            </w:r>
          </w:p>
          <w:p>
            <w:pPr>
              <w:numPr>
                <w:ilvl w:val="0"/>
                <w:numId w:val="580048835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Ermittlung der Entsorgungskosten je Abfallart (die Reihung der
Abfallarten anhand ihrer Entsorgungskosten zeigt grundsätzlich die
größten Einsparungspotenziale auf)</w:t>
            </w:r>
          </w:p>
          <w:p>
            <w:pPr>
              <w:numPr>
                <w:ilvl w:val="0"/>
                <w:numId w:val="580048835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Überprüfung wichtiger Betriebsbereiche:
</w:t>
            </w:r>
          </w:p>
          <w:p>
            <w:pPr>
              <w:numPr>
                <w:ilvl w:val="1"/>
                <w:numId w:val="580048835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Des Einkaufs</w:t>
            </w:r>
          </w:p>
          <w:p>
            <w:pPr>
              <w:numPr>
                <w:ilvl w:val="1"/>
                <w:numId w:val="580048835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Der Produktion</w:t>
            </w:r>
          </w:p>
          <w:p>
            <w:pPr>
              <w:numPr>
                <w:ilvl w:val="1"/>
                <w:numId w:val="580048835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Der Beziehung zum Kunden/Verbraucher</w:t>
            </w:r>
          </w:p>
        </w:tc>
      </w:tr>
    </w:tbl>
    <w:p/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4750"/>
        <w:gridCol w:w="250"/>
      </w:tblGrid>
      <w:tr>
        <w:trPr>
          <w:trHeight w:val="0" w:hRule="atLeast"/>
        </w:trPr>
        <w:tc>
          <w:tcPr>
            <w:tcW w:w="4750" w:type="pct"/>
            <w:gridSpan w:val="2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Erkennen von Abfallvermeidungspotenzial im
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Einkauf</w:t>
            </w:r>
          </w:p>
        </w:tc>
      </w:tr>
      <w:tr>
        <w:trPr>
          <w:trHeight w:val="0" w:hRule="atLeast"/>
        </w:trPr>
        <w:tc>
          <w:tcPr>
            <w:tcW w:w="47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Betrachtung der gesamten
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Lebenszykluskosten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des Produktes</w:t>
            </w:r>
          </w:p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Anmerkung: Es sollte nicht nur isoliert der Einkaufpreis
betrachtet werden, sondern auch der gesamte Lebenszyklus des
Produktes (des Rohstoffes, inkl seiner Verpackung) im betrieblichen
Geschehen bis hin zur Entsorgung.</w:t>
            </w:r>
          </w:p>
        </w:tc>
        <w:tc>
          <w:tcPr>
            <w:tcW w:w="2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</w:tr>
      <w:tr>
        <w:trPr>
          <w:trHeight w:val="0" w:hRule="atLeast"/>
        </w:trPr>
        <w:tc>
          <w:tcPr>
            <w:tcW w:w="47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Optimierungen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mit Lieferanten:</w:t>
            </w:r>
          </w:p>
          <w:p>
            <w:pPr>
              <w:numPr>
                <w:ilvl w:val="0"/>
                <w:numId w:val="185683505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Qualität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der vereinbarten
Lieferung/Leistung
</w:t>
            </w:r>
          </w:p>
          <w:p>
            <w:pPr>
              <w:numPr>
                <w:ilvl w:val="1"/>
                <w:numId w:val="185683505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Lieferform (zB granuliert, in Lösung etc)</w:t>
            </w:r>
          </w:p>
          <w:p>
            <w:pPr>
              <w:numPr>
                <w:ilvl w:val="1"/>
                <w:numId w:val="185683505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Produktqualität</w:t>
            </w:r>
          </w:p>
          <w:p>
            <w:pPr>
              <w:numPr>
                <w:ilvl w:val="1"/>
                <w:numId w:val="185683505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Verpackung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(Ebenso sollte die Größe der Verpackungseinheiten sowie deren
Lizenzierung angesprochen werden: Sack – Big Bag – Container –
Kleinemballage – Fass – Tank etc oder die Möglichkeit des Einsatzes
von Mehrwegsystemen)</w:t>
            </w:r>
          </w:p>
          <w:p>
            <w:pPr>
              <w:numPr>
                <w:ilvl w:val="0"/>
                <w:numId w:val="185683505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Möglichst 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exakte Liefermengen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(Vermeidung nicht benötigter bzw allfällig unverwendbarer
Mengen)</w:t>
            </w:r>
          </w:p>
          <w:p>
            <w:pPr>
              <w:numPr>
                <w:ilvl w:val="0"/>
                <w:numId w:val="185683505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Die mögliche 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Weiter- oder
Wiederverwendung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der gebrauchten Verpackungen bzw
Rückstände aus Transport und Lagerung</w:t>
            </w:r>
          </w:p>
          <w:p>
            <w:pPr>
              <w:numPr>
                <w:ilvl w:val="0"/>
                <w:numId w:val="185683505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Nutzung von 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Rückgabemöglichkeiten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(zB von leeren Tonerbehältnissen und gebrauchten Druckertrommeln an
den Lieferanten)</w:t>
            </w:r>
          </w:p>
        </w:tc>
        <w:tc>
          <w:tcPr>
            <w:tcW w:w="2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</w:tr>
    </w:tbl>
    <w:p/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4750"/>
        <w:gridCol w:w="250"/>
      </w:tblGrid>
      <w:tr>
        <w:trPr>
          <w:trHeight w:val="0" w:hRule="atLeast"/>
        </w:trPr>
        <w:tc>
          <w:tcPr>
            <w:tcW w:w="4750" w:type="pct"/>
            <w:gridSpan w:val="2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Erkennen von Abfallvermeidungspotenzial in der
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Produktion</w:t>
            </w:r>
          </w:p>
        </w:tc>
      </w:tr>
      <w:tr>
        <w:trPr>
          <w:trHeight w:val="0" w:hRule="atLeast"/>
        </w:trPr>
        <w:tc>
          <w:tcPr>
            <w:tcW w:w="47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Überlegungen hinsichtlich der 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Verbesserung der
Produktionsverfahren</w:t>
            </w:r>
          </w:p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Rückführung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in die Produktion von:</w:t>
            </w:r>
          </w:p>
          <w:p>
            <w:pPr>
              <w:numPr>
                <w:ilvl w:val="0"/>
                <w:numId w:val="91114065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Produktionsrückständen</w:t>
            </w:r>
          </w:p>
          <w:p>
            <w:pPr>
              <w:numPr>
                <w:ilvl w:val="0"/>
                <w:numId w:val="91114065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Mengenüberschüssen</w:t>
            </w:r>
          </w:p>
          <w:p>
            <w:pPr>
              <w:numPr>
                <w:ilvl w:val="0"/>
                <w:numId w:val="91114065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Fehlchargen</w:t>
            </w:r>
          </w:p>
          <w:p>
            <w:pPr>
              <w:numPr>
                <w:ilvl w:val="0"/>
                <w:numId w:val="91114065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Rücklieferungen</w:t>
            </w:r>
          </w:p>
          <w:p>
            <w:pPr>
              <w:numPr>
                <w:ilvl w:val="0"/>
                <w:numId w:val="91114065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Nebenerzeugnissen</w:t>
            </w:r>
          </w:p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Veränderungen der 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Produktionsverfahren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:</w:t>
            </w:r>
          </w:p>
          <w:p>
            <w:pPr>
              <w:numPr>
                <w:ilvl w:val="0"/>
                <w:numId w:val="840558338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Automatisierung</w:t>
            </w:r>
          </w:p>
          <w:p>
            <w:pPr>
              <w:numPr>
                <w:ilvl w:val="0"/>
                <w:numId w:val="840558338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Minimierung der 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Produktionsrückstände</w:t>
            </w:r>
          </w:p>
          <w:p>
            <w:pPr>
              <w:numPr>
                <w:ilvl w:val="0"/>
                <w:numId w:val="840558338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Eventueller 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Technologiewechsel</w:t>
            </w:r>
          </w:p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Prüfung, ob bestimmte anfallende Materialien als
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Nebenprodukte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marktfähig sind</w:t>
            </w:r>
          </w:p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Anmerkung: Auch die innerbetriebliche Verwendung der Rückstände
bzw deren Wiederverwendung beim Lieferanten oder sonstigen Dritten
ist unbedingt zu überprüfen.</w:t>
            </w:r>
          </w:p>
        </w:tc>
        <w:tc>
          <w:tcPr>
            <w:tcW w:w="2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</w:tr>
    </w:tbl>
    <w:p/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4750"/>
        <w:gridCol w:w="250"/>
      </w:tblGrid>
      <w:tr>
        <w:trPr>
          <w:trHeight w:val="0" w:hRule="atLeast"/>
        </w:trPr>
        <w:tc>
          <w:tcPr>
            <w:tcW w:w="4750" w:type="pct"/>
            <w:gridSpan w:val="2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Erkennen von Abfallvermeidungspotenzial in der
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Kunden-/Verbraucherbeziehung</w:t>
            </w:r>
          </w:p>
        </w:tc>
      </w:tr>
      <w:tr>
        <w:trPr>
          <w:trHeight w:val="0" w:hRule="atLeast"/>
        </w:trPr>
        <w:tc>
          <w:tcPr>
            <w:tcW w:w="47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Optimierung der 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Liefervereinbarungen mit dem
Kunden/Verbraucher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zur Beachtung einer möglichst
abfallvermeidenden Lieferung (Produkt und Verpackung, zB
Mehrweg)</w:t>
            </w:r>
          </w:p>
        </w:tc>
        <w:tc>
          <w:tcPr>
            <w:tcW w:w="2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</w:tr>
      <w:tr>
        <w:trPr>
          <w:trHeight w:val="0" w:hRule="atLeast"/>
        </w:trPr>
        <w:tc>
          <w:tcPr>
            <w:tcW w:w="47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Vereinbarung von 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Service-/Wartungsverträgen</w:t>
            </w:r>
          </w:p>
        </w:tc>
        <w:tc>
          <w:tcPr>
            <w:tcW w:w="2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</w:tr>
      <w:tr>
        <w:trPr>
          <w:trHeight w:val="0" w:hRule="atLeast"/>
        </w:trPr>
        <w:tc>
          <w:tcPr>
            <w:tcW w:w="47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Prüfung, ob Miete vorteilhafter ist als Kauf etc</w:t>
            </w:r>
          </w:p>
        </w:tc>
        <w:tc>
          <w:tcPr>
            <w:tcW w:w="2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</w:tr>
    </w:tbl>
    <w:p/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4750"/>
        <w:gridCol w:w="250"/>
      </w:tblGrid>
      <w:tr>
        <w:trPr>
          <w:trHeight w:val="0" w:hRule="atLeast"/>
        </w:trPr>
        <w:tc>
          <w:tcPr>
            <w:tcW w:w="4750" w:type="pct"/>
            <w:gridSpan w:val="2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Wichtige Hinweise für die 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getrennte Sammlung im
Betrieb</w:t>
            </w:r>
          </w:p>
        </w:tc>
      </w:tr>
      <w:tr>
        <w:trPr>
          <w:trHeight w:val="0" w:hRule="atLeast"/>
        </w:trPr>
        <w:tc>
          <w:tcPr>
            <w:tcW w:w="47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Konzipieren eines 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benutzerfreundlichen
Sammelsystems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für alle Beteiligten</w:t>
            </w:r>
          </w:p>
        </w:tc>
        <w:tc>
          <w:tcPr>
            <w:tcW w:w="2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</w:tr>
      <w:tr>
        <w:trPr>
          <w:trHeight w:val="0" w:hRule="atLeast"/>
        </w:trPr>
        <w:tc>
          <w:tcPr>
            <w:tcW w:w="47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Standortwahl: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rasche Zugänglichkeit und kurze
Distanzen (die primären Sammelbehälter müssen am Anfallort des
Abfalls stehen)</w:t>
            </w:r>
          </w:p>
        </w:tc>
        <w:tc>
          <w:tcPr>
            <w:tcW w:w="2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</w:tr>
      <w:tr>
        <w:trPr>
          <w:trHeight w:val="0" w:hRule="atLeast"/>
        </w:trPr>
        <w:tc>
          <w:tcPr>
            <w:tcW w:w="47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Deutliche Kennzeichnung oder Beschriftung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aller
Sammelbehälter: es empfiehlt sich dabei eine Anlehnung an die aus
dem Haushaltsbereich erprobten Farbleitsysteme und Piktogramme für
verschiedene Abfallfraktionen</w:t>
            </w:r>
          </w:p>
        </w:tc>
        <w:tc>
          <w:tcPr>
            <w:tcW w:w="2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</w:tr>
      <w:tr>
        <w:trPr>
          <w:trHeight w:val="0" w:hRule="atLeast"/>
        </w:trPr>
        <w:tc>
          <w:tcPr>
            <w:tcW w:w="47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Sekundäre Sammelstellen:</w:t>
            </w:r>
          </w:p>
          <w:p>
            <w:pPr>
              <w:numPr>
                <w:ilvl w:val="0"/>
                <w:numId w:val="413259635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Möglichst kurze Wege</w:t>
            </w:r>
          </w:p>
          <w:p>
            <w:pPr>
              <w:numPr>
                <w:ilvl w:val="0"/>
                <w:numId w:val="413259635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Regelmäßiger Abtransport gewährleistet</w:t>
            </w:r>
          </w:p>
        </w:tc>
        <w:tc>
          <w:tcPr>
            <w:tcW w:w="2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</w:tr>
      <w:tr>
        <w:trPr>
          <w:trHeight w:val="0" w:hRule="atLeast"/>
        </w:trPr>
        <w:tc>
          <w:tcPr>
            <w:tcW w:w="47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Im Nahebereich der sekundären Sammelstellen (Müllinseln im
Betrieb) stehen Personen bereit, die Zuordnungsfragen klären
können.</w:t>
            </w:r>
          </w:p>
        </w:tc>
        <w:tc>
          <w:tcPr>
            <w:tcW w:w="2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</w:tr>
      <w:tr>
        <w:trPr>
          <w:trHeight w:val="0" w:hRule="atLeast"/>
        </w:trPr>
        <w:tc>
          <w:tcPr>
            <w:tcW w:w="47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Tertiäre Sammelstellen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(von dort holt der
Entsorger ab) sind mit dem Entsorger abgesprochen.</w:t>
            </w:r>
          </w:p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Anmerkung: Dabei sind sowohl die innerbetrieblichen
Transportverhältnisse als auch der Abtransport der Abfälle aus dem
Betriebsgelände zu beachten.</w:t>
            </w:r>
          </w:p>
        </w:tc>
        <w:tc>
          <w:tcPr>
            <w:tcW w:w="2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</w:tr>
      <w:tr>
        <w:trPr>
          <w:trHeight w:val="0" w:hRule="atLeast"/>
        </w:trPr>
        <w:tc>
          <w:tcPr>
            <w:tcW w:w="47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Anforderungsprofile der Sammelbehälter ergeben sich aus den
Gefahrenpotenzialen der Abfälle; das Behältervolumen aus der
Abfallmenge und dem Entleerungsintervall, ggf sind
Kennzeichnungsvorschriften aus dem Gefahrgutrecht (ADR) zu
berücksichtigen.</w:t>
            </w:r>
          </w:p>
        </w:tc>
        <w:tc>
          <w:tcPr>
            <w:tcW w:w="2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</w:tr>
      <w:tr>
        <w:trPr>
          <w:trHeight w:val="0" w:hRule="atLeast"/>
        </w:trPr>
        <w:tc>
          <w:tcPr>
            <w:tcW w:w="47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Abfallsammelbehälter sollten so platziert sein, dass sie auch
gut eingesehen werden; insb sollen tertiäre Sammelstellen nicht
unbeaufsichtigt und gänzlich frei zugänglich sein. Für verschüttete
flüssige Abfälle sind geeignete Bindemittel vorzusehen.</w:t>
            </w:r>
          </w:p>
        </w:tc>
        <w:tc>
          <w:tcPr>
            <w:tcW w:w="2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</w:tr>
    </w:tbl>
    <w:p/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4750"/>
        <w:gridCol w:w="250"/>
      </w:tblGrid>
      <w:tr>
        <w:trPr>
          <w:trHeight w:val="0" w:hRule="atLeast"/>
        </w:trPr>
        <w:tc>
          <w:tcPr>
            <w:tcW w:w="4750" w:type="pct"/>
            <w:gridSpan w:val="2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Welche Abfälle sollen/müssen </w:t>
            </w: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getrennt erfasst und
verwertet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 werden?</w:t>
            </w:r>
          </w:p>
        </w:tc>
      </w:tr>
      <w:tr>
        <w:trPr>
          <w:trHeight w:val="0" w:hRule="atLeast"/>
        </w:trPr>
        <w:tc>
          <w:tcPr>
            <w:tcW w:w="47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Sortenreine Erfassung/Sammlung</w:t>
            </w:r>
          </w:p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Anmerkung: Eine sortenreine Erfassung/Sammlung erleichtert die
Abfallverwertung. Insbesondere folgende Abfallgruppen sind in
Erwägung zu ziehen:</w:t>
            </w:r>
          </w:p>
          <w:p>
            <w:pPr>
              <w:numPr>
                <w:ilvl w:val="0"/>
                <w:numId w:val="487052067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Baurestmassen</w:t>
            </w:r>
          </w:p>
          <w:p>
            <w:pPr>
              <w:numPr>
                <w:ilvl w:val="0"/>
                <w:numId w:val="487052067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Gefährliche Abfälle (Problemstoffe); Altöle</w:t>
            </w:r>
          </w:p>
          <w:p>
            <w:pPr>
              <w:numPr>
                <w:ilvl w:val="0"/>
                <w:numId w:val="487052067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Verpackungen</w:t>
            </w:r>
          </w:p>
          <w:p>
            <w:pPr>
              <w:numPr>
                <w:ilvl w:val="0"/>
                <w:numId w:val="487052067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Biogene Abfälle</w:t>
            </w:r>
          </w:p>
          <w:p>
            <w:pPr>
              <w:numPr>
                <w:ilvl w:val="0"/>
                <w:numId w:val="487052067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Sonstige Altstoffe, die in Verwertungsschienen eingebracht
werden können (zB Altmetalle, Glas, Kunststoffe etc)</w:t>
            </w:r>
          </w:p>
        </w:tc>
        <w:tc>
          <w:tcPr>
            <w:tcW w:w="2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</w:tr>
    </w:tbl>
    <w:p/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4750"/>
        <w:gridCol w:w="250"/>
      </w:tblGrid>
      <w:tr>
        <w:trPr>
          <w:trHeight w:val="0" w:hRule="atLeast"/>
        </w:trPr>
        <w:tc>
          <w:tcPr>
            <w:tcW w:w="4750" w:type="pct"/>
            <w:gridSpan w:val="2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Informationen über Verwertungsmöglichkeiten</w:t>
            </w:r>
          </w:p>
        </w:tc>
      </w:tr>
      <w:tr>
        <w:trPr>
          <w:trHeight w:val="0" w:hRule="atLeast"/>
        </w:trPr>
        <w:tc>
          <w:tcPr>
            <w:tcW w:w="47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Informationen über Verwertungsmöglichkeiten können an folgenden
Stellen eingeholt werden:</w:t>
            </w:r>
          </w:p>
          <w:p>
            <w:pPr>
              <w:numPr>
                <w:ilvl w:val="0"/>
                <w:numId w:val="106916400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Vorlieferant</w:t>
            </w:r>
          </w:p>
          <w:p>
            <w:pPr>
              <w:numPr>
                <w:ilvl w:val="0"/>
                <w:numId w:val="106916400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Entsorger</w:t>
            </w:r>
          </w:p>
          <w:p>
            <w:pPr>
              <w:numPr>
                <w:ilvl w:val="0"/>
                <w:numId w:val="106916400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Betreiber von Verwertungsanlagen</w:t>
            </w:r>
          </w:p>
          <w:p>
            <w:pPr>
              <w:numPr>
                <w:ilvl w:val="0"/>
                <w:numId w:val="106916400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BMK; Ämter der Landesregierungen (Umweltabteilungen,
Amtssachverständige)</w:t>
            </w:r>
          </w:p>
          <w:p>
            <w:pPr>
              <w:numPr>
                <w:ilvl w:val="0"/>
                <w:numId w:val="106916400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Umweltbundesamt</w:t>
            </w:r>
          </w:p>
          <w:p>
            <w:pPr>
              <w:numPr>
                <w:ilvl w:val="0"/>
                <w:numId w:val="106916400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Abfallwirtschaftsverbände</w:t>
            </w:r>
          </w:p>
          <w:p>
            <w:pPr>
              <w:numPr>
                <w:ilvl w:val="0"/>
                <w:numId w:val="106916400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Ingenieurbüros, Ingenieurkonsulenten (Ziviltechniker)</w:t>
            </w:r>
          </w:p>
          <w:p>
            <w:pPr>
              <w:numPr>
                <w:ilvl w:val="0"/>
                <w:numId w:val="106916400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Wirtschaftskammern</w:t>
            </w:r>
          </w:p>
          <w:p>
            <w:pPr>
              <w:numPr>
                <w:ilvl w:val="0"/>
                <w:numId w:val="106916400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Internet</w:t>
            </w:r>
          </w:p>
        </w:tc>
        <w:tc>
          <w:tcPr>
            <w:tcW w:w="2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</w:tr>
    </w:tbl>
    <w:sectPr xmlns:w="http://schemas.openxmlformats.org/wordprocessingml/2006/main" xmlns:r="http://schemas.openxmlformats.org/officeDocument/2006/relationships" w:rsidR="00F961DC" w:rsidSect="001A2D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                                  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D5D" w:rsidRDefault="001A2D5D" w:rsidP="001A2D5D">
      <w:pPr>
        <w:spacing w:after="0" w:line="240" w:lineRule="auto"/>
      </w:pPr>
      <w:r>
        <w:separator/>
      </w:r>
    </w:p>
  </w:endnote>
  <w:end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-27255744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294594795"/>
          <w:docPartObj>
            <w:docPartGallery w:val="Page Numbers (Top of Page)"/>
            <w:docPartUnique/>
          </w:docPartObj>
        </w:sdtPr>
        <w:sdtEndPr/>
        <w:sdtContent>
          <w:bookmarkStart w:id="0" w:name="_GoBack" w:displacedByCustomXml="prev"/>
          <w:p w:rsidR="001A2D5D" w:rsidRPr="001A2D5D" w:rsidRDefault="001A2D5D">
            <w:pPr>
              <w:pStyle w:val="Fuzeile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Seite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PAGE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von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NUMPAGES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  <w:bookmarkEnd w:id="0" w:displacedByCustomXml="next"/>
        </w:sdtContent>
      </w:sdt>
    </w:sdtContent>
  </w:sdt>
  <w:p w:rsidR="001A2D5D" w:rsidRDefault="001A2D5D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D5D" w:rsidRDefault="001A2D5D" w:rsidP="001A2D5D">
      <w:pPr>
        <w:spacing w:after="0" w:line="240" w:lineRule="auto"/>
      </w:pPr>
      <w:r>
        <w:separator/>
      </w:r>
    </w:p>
  </w:footnote>
  <w:foot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6916400">
    <w:multiLevelType w:val="hybridMultilevel"/>
    <w:lvl w:ilvl="0">
      <w:start w:val=""/>
      <w:numFmt w:val="bullet"/>
      <w:lvlText w:val="●"/>
      <w:lvlJc w:val="left"/>
      <w:pPr>
        <w:ind w:left="720" w:hanging="360"/>
      </w:pPr>
      <w:rPr/>
    </w:lvl>
    <w:lvl w:ilvl="1">
      <w:start w:val="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87052067">
    <w:multiLevelType w:val="hybridMultilevel"/>
    <w:lvl w:ilvl="0">
      <w:start w:val=""/>
      <w:numFmt w:val="bullet"/>
      <w:lvlText w:val="●"/>
      <w:lvlJc w:val="left"/>
      <w:pPr>
        <w:ind w:left="720" w:hanging="360"/>
      </w:pPr>
      <w:rPr/>
    </w:lvl>
    <w:lvl w:ilvl="1">
      <w:start w:val="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3259635">
    <w:multiLevelType w:val="hybridMultilevel"/>
    <w:lvl w:ilvl="0">
      <w:start w:val=""/>
      <w:numFmt w:val="bullet"/>
      <w:lvlText w:val="●"/>
      <w:lvlJc w:val="left"/>
      <w:pPr>
        <w:ind w:left="720" w:hanging="360"/>
      </w:pPr>
      <w:rPr/>
    </w:lvl>
    <w:lvl w:ilvl="1">
      <w:start w:val="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40558338">
    <w:multiLevelType w:val="hybridMultilevel"/>
    <w:lvl w:ilvl="0">
      <w:start w:val=""/>
      <w:numFmt w:val="bullet"/>
      <w:lvlText w:val="●"/>
      <w:lvlJc w:val="left"/>
      <w:pPr>
        <w:ind w:left="720" w:hanging="360"/>
      </w:pPr>
      <w:rPr/>
    </w:lvl>
    <w:lvl w:ilvl="1">
      <w:start w:val="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1114065">
    <w:multiLevelType w:val="hybridMultilevel"/>
    <w:lvl w:ilvl="0">
      <w:start w:val=""/>
      <w:numFmt w:val="bullet"/>
      <w:lvlText w:val="●"/>
      <w:lvlJc w:val="left"/>
      <w:pPr>
        <w:ind w:left="720" w:hanging="360"/>
      </w:pPr>
      <w:rPr/>
    </w:lvl>
    <w:lvl w:ilvl="1">
      <w:start w:val="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5683505">
    <w:multiLevelType w:val="hybridMultilevel"/>
    <w:lvl w:ilvl="0">
      <w:start w:val=""/>
      <w:numFmt w:val="bullet"/>
      <w:lvlText w:val="●"/>
      <w:lvlJc w:val="left"/>
      <w:pPr>
        <w:ind w:left="720" w:hanging="360"/>
      </w:pPr>
      <w:rPr/>
    </w:lvl>
    <w:lvl w:ilvl="1">
      <w:start w:val=""/>
      <w:numFmt w:val="bullet"/>
      <w:lvlText w:val="○"/>
      <w:lvlJc w:val="left"/>
      <w:pPr>
        <w:ind w:left="1440" w:hanging="360"/>
      </w:pPr>
      <w:rPr/>
    </w:lvl>
    <w:lvl w:ilvl="2">
      <w:start w:val="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80048835">
    <w:multiLevelType w:val="hybridMultilevel"/>
    <w:lvl w:ilvl="0">
      <w:start w:val=""/>
      <w:numFmt w:val="bullet"/>
      <w:lvlText w:val="●"/>
      <w:lvlJc w:val="left"/>
      <w:pPr>
        <w:ind w:left="720" w:hanging="360"/>
      </w:pPr>
      <w:rPr/>
    </w:lvl>
    <w:lvl w:ilvl="1">
      <w:start w:val=""/>
      <w:numFmt w:val="bullet"/>
      <w:lvlText w:val="○"/>
      <w:lvlJc w:val="left"/>
      <w:pPr>
        <w:ind w:left="1440" w:hanging="360"/>
      </w:pPr>
      <w:rPr/>
    </w:lvl>
    <w:lvl w:ilvl="2">
      <w:start w:val="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633976">
    <w:multiLevelType w:val="hybridMultilevel"/>
    <w:lvl w:ilvl="0">
      <w:start w:val=""/>
      <w:numFmt w:val="bullet"/>
      <w:lvlText w:val="●"/>
      <w:lvlJc w:val="left"/>
      <w:pPr>
        <w:ind w:left="720" w:hanging="360"/>
      </w:pPr>
      <w:rPr/>
    </w:lvl>
    <w:lvl w:ilvl="1">
      <w:start w:val="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83740308">
    <w:multiLevelType w:val="hybridMultilevel"/>
    <w:lvl w:ilvl="0">
      <w:start w:val=""/>
      <w:numFmt w:val="bullet"/>
      <w:lvlText w:val="●"/>
      <w:lvlJc w:val="left"/>
      <w:pPr>
        <w:ind w:left="720" w:hanging="360"/>
      </w:pPr>
      <w:rPr/>
    </w:lvl>
    <w:lvl w:ilvl="1">
      <w:start w:val=""/>
      <w:numFmt w:val="bullet"/>
      <w:lvlText w:val="○"/>
      <w:lvlJc w:val="left"/>
      <w:pPr>
        <w:ind w:left="1440" w:hanging="360"/>
      </w:pPr>
      <w:rPr/>
    </w:lvl>
    <w:lvl w:ilvl="2">
      <w:start w:val="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3131113">
    <w:multiLevelType w:val="hybridMultilevel"/>
    <w:lvl w:ilvl="0" w:tplc="71320728">
      <w:start w:val="1"/>
      <w:numFmt w:val="decimal"/>
      <w:lvlText w:val="%1."/>
      <w:lvlJc w:val="left"/>
      <w:pPr>
        <w:ind w:left="720" w:hanging="360"/>
      </w:pPr>
    </w:lvl>
    <w:lvl w:ilvl="1" w:tplc="71320728" w:tentative="1">
      <w:start w:val="1"/>
      <w:numFmt w:val="lowerLetter"/>
      <w:lvlText w:val="%2."/>
      <w:lvlJc w:val="left"/>
      <w:pPr>
        <w:ind w:left="1440" w:hanging="360"/>
      </w:pPr>
    </w:lvl>
    <w:lvl w:ilvl="2" w:tplc="71320728" w:tentative="1">
      <w:start w:val="1"/>
      <w:numFmt w:val="lowerRoman"/>
      <w:lvlText w:val="%3."/>
      <w:lvlJc w:val="right"/>
      <w:pPr>
        <w:ind w:left="2160" w:hanging="180"/>
      </w:pPr>
    </w:lvl>
    <w:lvl w:ilvl="3" w:tplc="71320728" w:tentative="1">
      <w:start w:val="1"/>
      <w:numFmt w:val="decimal"/>
      <w:lvlText w:val="%4."/>
      <w:lvlJc w:val="left"/>
      <w:pPr>
        <w:ind w:left="2880" w:hanging="360"/>
      </w:pPr>
    </w:lvl>
    <w:lvl w:ilvl="4" w:tplc="71320728" w:tentative="1">
      <w:start w:val="1"/>
      <w:numFmt w:val="lowerLetter"/>
      <w:lvlText w:val="%5."/>
      <w:lvlJc w:val="left"/>
      <w:pPr>
        <w:ind w:left="3600" w:hanging="360"/>
      </w:pPr>
    </w:lvl>
    <w:lvl w:ilvl="5" w:tplc="71320728" w:tentative="1">
      <w:start w:val="1"/>
      <w:numFmt w:val="lowerRoman"/>
      <w:lvlText w:val="%6."/>
      <w:lvlJc w:val="right"/>
      <w:pPr>
        <w:ind w:left="4320" w:hanging="180"/>
      </w:pPr>
    </w:lvl>
    <w:lvl w:ilvl="6" w:tplc="71320728" w:tentative="1">
      <w:start w:val="1"/>
      <w:numFmt w:val="decimal"/>
      <w:lvlText w:val="%7."/>
      <w:lvlJc w:val="left"/>
      <w:pPr>
        <w:ind w:left="5040" w:hanging="360"/>
      </w:pPr>
    </w:lvl>
    <w:lvl w:ilvl="7" w:tplc="71320728" w:tentative="1">
      <w:start w:val="1"/>
      <w:numFmt w:val="lowerLetter"/>
      <w:lvlText w:val="%8."/>
      <w:lvlJc w:val="left"/>
      <w:pPr>
        <w:ind w:left="5760" w:hanging="360"/>
      </w:pPr>
    </w:lvl>
    <w:lvl w:ilvl="8" w:tplc="713207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131112">
    <w:multiLevelType w:val="hybridMultilevel"/>
    <w:lvl w:ilvl="0" w:tplc="849251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3131112">
    <w:abstractNumId w:val="53131112"/>
  </w:num>
  <w:num w:numId="53131113">
    <w:abstractNumId w:val="53131113"/>
  </w:num>
  <w:num w:numId="483740308">
    <w:abstractNumId w:val="483740308"/>
  </w:num>
  <w:num w:numId="15633976">
    <w:abstractNumId w:val="15633976"/>
  </w:num>
  <w:num w:numId="580048835">
    <w:abstractNumId w:val="580048835"/>
  </w:num>
  <w:num w:numId="185683505">
    <w:abstractNumId w:val="185683505"/>
  </w:num>
  <w:num w:numId="91114065">
    <w:abstractNumId w:val="91114065"/>
  </w:num>
  <w:num w:numId="840558338">
    <w:abstractNumId w:val="840558338"/>
  </w:num>
  <w:num w:numId="413259635">
    <w:abstractNumId w:val="413259635"/>
  </w:num>
  <w:num w:numId="487052067">
    <w:abstractNumId w:val="487052067"/>
  </w:num>
  <w:num w:numId="106916400">
    <w:abstractNumId w:val="10691640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 w:val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D5D"/>
    <w:rsid w:val="001A2D5D"/>
    <w:rsid w:val="00205CAE"/>
    <w:rsid w:val="002141BA"/>
    <w:rsid w:val="004A3273"/>
    <w:rsid w:val="00E7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_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_DE" w:eastAsia="de_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539313192" Type="http://schemas.openxmlformats.org/officeDocument/2006/relationships/numbering" Target="numbering.xml"/><Relationship Id="rId123649572" Type="http://schemas.openxmlformats.org/officeDocument/2006/relationships/comments" Target="comments.xml"/></Relationships>
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>WEKA Business Solutions GmbH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created xsi:type="dcterms:W3CDTF">2015-05-12T09:10:00Z</dcterms:created>
  <dcterms:modified xsi:type="dcterms:W3CDTF">2015-05-12T09:16:00Z</dcterms:modified>
</cp:coreProperties>
</file>