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5785708" w:name="document"/>
    <w:bookmarkEnd w:id="55785708"/>
    <w:p/>
    <w:p>
      <w:pPr>
        <w:widowControl w:val="on"/>
        <w:pBdr/>
        <w:spacing w:before="0" w:after="280" w:line="240" w:lineRule="auto"/>
        <w:ind w:left="0" w:right="0"/>
        <w:jc w:val="left"/>
      </w:pPr>
      <w:r>
        <w:rPr>
          <w:rFonts w:ascii="Arial" w:hAnsi="Arial" w:eastAsia="Arial" w:cs="Arial"/>
          <w:color w:val="363A40"/>
          <w:sz w:val="24"/>
          <w:szCs w:val="24"/>
        </w:rPr>
        <w:t xml:space="preserve">Dokument-ID: 762038 | Robert Koch | Muster |
Behördenschriftsatz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Aufhebung eines erstinstanzlichen Bescheides gem § 299 BAO im
eigenen Wirkungsbereich der Gemeinde</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Anwendungsbeispiel: Während des Insolvenzverfahrens ergibt sich
eine von Amts wegen (nun durch Aufhebung und neuen Sachbescheid)
der Höhe nach abzuändernde Festsetzung der Kommunalsteuer (KommSt),
weswegen nun in einen seitens der Abgabenbehörde erster Instanz
erlassenen Bescheid eingegriffen werden soll.</w:t>
      </w:r>
    </w:p>
    <w:p>
      <w:pPr>
        <w:widowControl w:val="on"/>
        <w:pBdr/>
        <w:spacing w:before="140" w:after="240" w:line="288" w:lineRule="auto"/>
        <w:ind w:left="0" w:right="0"/>
        <w:jc w:val="left"/>
      </w:pPr>
      <w:r>
        <w:rPr>
          <w:rFonts w:ascii="Arial" w:hAnsi="Arial" w:eastAsia="Arial" w:cs="Arial"/>
          <w:color w:val="000000"/>
          <w:sz w:val="20"/>
          <w:szCs w:val="20"/>
        </w:rPr>
        <w:t xml:space="preserve">Es werden Varianten für die Ausgangssituationen dargestellt, wo
der „abzuändernde“ Bescheid entweder noch an den Abgabepflichtigen
selbst oder (bereits nach Eröffnung des Insolvenzverfahrens) an den
Insolvenzverwalter erging.</w:t>
      </w:r>
    </w:p>
    <w:p>
      <w:pPr>
        <w:widowControl w:val="on"/>
        <w:pBdr/>
        <w:spacing w:before="140" w:after="240" w:line="288" w:lineRule="auto"/>
        <w:ind w:left="0" w:right="0"/>
        <w:jc w:val="left"/>
      </w:pPr>
      <w:r>
        <w:rPr>
          <w:rFonts w:ascii="Arial" w:hAnsi="Arial" w:eastAsia="Arial" w:cs="Arial"/>
          <w:color w:val="000000"/>
          <w:sz w:val="20"/>
          <w:szCs w:val="20"/>
        </w:rPr>
        <w:t xml:space="preserve">Weiterführende Hinweise zur zeitlich eingeschränkten
Anwendbarkeit einer auf § 299 BAO gestützten Aufhebung finden
Sie in den Anmerkungen zum Muster.</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Stadt-/Markt-/Gemeinde …</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des Empfängers, das ist</w:t>
      </w:r>
      <w:r>
        <w:rPr>
          <w:rFonts w:ascii="Arial" w:hAnsi="Arial" w:eastAsia="Arial" w:cs="Arial"/>
          <w:color w:val="000000"/>
          <w:sz w:val="20"/>
          <w:szCs w:val="20"/>
        </w:rPr>
        <w:br/>
        <w:t xml:space="preserve">während des noch nicht abgeschlossenen</w:t>
      </w:r>
      <w:r>
        <w:rPr>
          <w:rFonts w:ascii="Arial" w:hAnsi="Arial" w:eastAsia="Arial" w:cs="Arial"/>
          <w:color w:val="000000"/>
          <w:sz w:val="20"/>
          <w:szCs w:val="20"/>
        </w:rPr>
        <w:br/>
        <w:t xml:space="preserve">Insolvenzverfahrens der Insolvenzverwalter</w:t>
      </w:r>
      <w:r>
        <w:rPr>
          <w:rFonts w:ascii="Arial" w:hAnsi="Arial" w:eastAsia="Arial" w:cs="Arial"/>
          <w:color w:val="000000"/>
          <w:sz w:val="20"/>
          <w:szCs w:val="20"/>
        </w:rPr>
        <w:br/>
        <w:t xml:space="preserve">bzw der Sanierungsverwalter]</w:t>
      </w:r>
    </w:p>
    <w:p>
      <w:pPr>
        <w:widowControl w:val="on"/>
        <w:pBdr/>
        <w:spacing w:before="140" w:after="240" w:line="288" w:lineRule="auto"/>
        <w:ind w:left="0" w:right="0"/>
        <w:jc w:val="left"/>
      </w:pPr>
      <w:r>
        <w:rPr>
          <w:rFonts w:ascii="Arial" w:hAnsi="Arial" w:eastAsia="Arial" w:cs="Arial"/>
          <w:color w:val="000000"/>
          <w:sz w:val="20"/>
          <w:szCs w:val="20"/>
        </w:rPr>
        <w:t xml:space="preserve">GZ: …</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Aufhebung des Bescheides vom … und Neufestsetzung der
Kommunalsteuer … bis … nach durchgeführter PLB</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Bescheid</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Spruch</w:t>
      </w:r>
    </w:p>
    <w:p>
      <w:pPr>
        <w:widowControl w:val="on"/>
        <w:pBdr/>
        <w:spacing w:before="140" w:after="240" w:line="288" w:lineRule="auto"/>
        <w:ind w:left="0" w:right="0"/>
        <w:jc w:val="left"/>
      </w:pPr>
      <w:r>
        <w:rPr>
          <w:rFonts w:ascii="Arial" w:hAnsi="Arial" w:eastAsia="Arial" w:cs="Arial"/>
          <w:color w:val="000000"/>
          <w:sz w:val="20"/>
          <w:szCs w:val="20"/>
        </w:rPr>
        <w:t xml:space="preserve">1. Der an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(zeitlich bedingt anwendbare) Variante, wonach der aufzuhebende
Bescheid nach Eröffnung des Insolvenzverfahrens bereits an den
Insolvenzverwalter bzw an den Sanierungsverwalter erging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Herrn/Frau (Rechtsanwalt/Notar/…) … [Name und Adresse des
Insolvenzverwalters bzw des Sanierungsverwalters], als vom
zuständigen Insolvenzgericht über das Vermögen des/der …
[Bezeichnung des Abgabepflichtigen, somit Name der natürlichen oder
juristischen Person samt Adresse des Abgabepflichtigen], bestellter
Insolvenzverwalter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(zeitlich bedingt anwendbare) Variante, wonach der aufzuhebende
Bescheid noch vor Eröffnung des Insolvenzverfahrens an den
Abgabepflichtigen selbst erging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Herrn/Frau … [Bezeichnung des Abgabepflichtigen, somit Name der
natürlichen oder juristischen Person samt Adresse des
Abgabepflichtigen], nun vertreten durch Herrn/Frau
(Rechtsanwalt/Notar/…) … [Name und Adresse des </w:t>
            </w:r>
            <w:r>
              <w:rPr>
                <w:rFonts w:ascii="Arial" w:hAnsi="Arial" w:eastAsia="Arial" w:cs="Arial"/>
                <w:color w:val="000000"/>
                <w:position w:val="0"/>
                <w:sz w:val="20"/>
                <w:szCs w:val="20"/>
                <w:shd w:val="clear" w:color="auto" w:fill="FFFFFF"/>
              </w:rPr>
              <w:t xml:space="preserve">Insolvenzverwalters]</w:t>
            </w:r>
            <w:bookmarkStart w:id="69204742" w:name="link1"/>
            <w:bookmarkEnd w:id="69204742"/>
            <w:hyperlink w:anchor="note1" w:history="1">
              <w:r>
                <w:rPr>
                  <w:rFonts w:ascii="Arial" w:hAnsi="Arial" w:eastAsia="Arial" w:cs="Arial"/>
                  <w:b/>
                  <w:bCs/>
                  <w:color w:val="006BB6"/>
                  <w:position w:val="4"/>
                  <w:sz w:val="22"/>
                  <w:szCs w:val="22"/>
                  <w:shd w:val="clear" w:color="auto" w:fill="FFFFFF"/>
                  <w:vertAlign w:val="superscript"/>
                </w:rPr>
                <w:t xml:space="preserve">1</w:t>
              </w:r>
            </w:hyperlink>
            <w:r>
              <w:rPr>
                <w:rFonts w:ascii="Arial" w:hAnsi="Arial" w:eastAsia="Arial" w:cs="Arial"/>
                <w:color w:val="000000"/>
                <w:position w:val="0"/>
                <w:sz w:val="20"/>
                <w:szCs w:val="20"/>
                <w:shd w:val="clear" w:color="auto" w:fill="FFFFFF"/>
              </w:rPr>
              <w:t xml:space="preserve"> als vom zuständigen
Insolvenzgericht bestellter Insolvenzverwalter</w:t>
            </w:r>
          </w:p>
        </w:tc>
      </w:tr>
    </w:tbl>
    <w:p>
      <w:pPr>
        <w:widowControl w:val="on"/>
        <w:pBdr/>
        <w:spacing w:before="140" w:after="240" w:line="288" w:lineRule="auto"/>
        <w:ind w:left="0" w:right="0"/>
        <w:jc w:val="left"/>
      </w:pPr>
      <w:r>
        <w:rPr>
          <w:rFonts w:ascii="Arial" w:hAnsi="Arial" w:eastAsia="Arial" w:cs="Arial"/>
          <w:color w:val="000000"/>
          <w:sz w:val="20"/>
          <w:szCs w:val="20"/>
        </w:rPr>
        <w:t xml:space="preserve">gerichtete, am … zugestellte erstinstanzliche Bescheid (GZ: …)
vom … [Festsetzung der Kommunalsteuer für den Zeitraum vom … bis …]
wird gem § 299 Abs 1 Bundesabgabenordnung – BAO,
BGBl 194/1961 in der geltenden Fassung, von Amts wegen
aufgehoben.</w:t>
      </w:r>
    </w:p>
    <w:p>
      <w:pPr>
        <w:widowControl w:val="on"/>
        <w:pBdr/>
        <w:spacing w:before="140" w:after="240" w:line="288" w:lineRule="auto"/>
        <w:ind w:left="0" w:right="0"/>
        <w:jc w:val="left"/>
      </w:pPr>
      <w:r>
        <w:rPr>
          <w:rFonts w:ascii="Arial" w:hAnsi="Arial" w:eastAsia="Arial" w:cs="Arial"/>
          <w:color w:val="000000"/>
          <w:sz w:val="20"/>
          <w:szCs w:val="20"/>
        </w:rPr>
        <w:t xml:space="preserve">2. Gem § 11 Abs 3 Kommunalsteuergesetz 1993,
BGBl 819/1993 in der geltenden Fassung (KommStG 1993) in
Verbindung mit § 201 Abs 1 und 2 BAO sowie in Verbindung
mit § 299 Abs 2 BAO, wird die von Herrn/Frau
(Rechtsanwalt/Notar/…) … [Name und Adresse des Insolvenzverwalters
bzw des Sanierungsverwalters], als vom zuständigen Insolvenzgericht
über das Vermögen des/der … [Bezeichnung des Abgabepflichtigen,
somit Name der natürlichen oder juristischen Person samt Adresse
des Abgabepflichtigen] bestellter
Insolvenzverwalter/Sanierungsverwalter, für den Zeitraum vom … bis
… zu entrichtende Kommunalsteuer für die nachstehend angeführten
Jahre wie in der Tabelle ersichtlich, jedoch insgesamt mit
EUR … festgesetzt, das sind 3 % von EUR … als
Bemessungsgrundlage gem § 5 KommStG 1993.</w:t>
      </w:r>
    </w:p>
    <w:p>
      <w:pPr>
        <w:widowControl w:val="on"/>
        <w:pBdr/>
        <w:spacing w:before="140" w:after="240" w:line="288" w:lineRule="auto"/>
        <w:ind w:left="0" w:right="0"/>
        <w:jc w:val="left"/>
      </w:pPr>
      <w:r>
        <w:rPr>
          <w:rFonts w:ascii="Arial" w:hAnsi="Arial" w:eastAsia="Arial" w:cs="Arial"/>
          <w:color w:val="000000"/>
          <w:sz w:val="20"/>
          <w:szCs w:val="20"/>
        </w:rPr>
        <w:t xml:space="preserve">Die Festsetzung der Kommunalsteuer stellt sich in den
angeführten Kalenderjahren (bzw Wirtschaftsjahren) wie folgt dar
bzw beruht auf folgenden Bemessungsgrundlagen: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2265"/>
        <w:gridCol w:w="4095"/>
        <w:gridCol w:w="2055"/>
      </w:tblGrid>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(Teil-)Zeitraum</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Kommunalsteuerbemessungsgrundlage</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Davon 3 %</w:t>
            </w:r>
            <w:r>
              <w:rPr>
                <w:rFonts w:ascii="Arial" w:hAnsi="Arial" w:eastAsia="Arial" w:cs="Arial"/>
                <w:color w:val="000000"/>
                <w:position w:val="0"/>
                <w:sz w:val="20"/>
                <w:szCs w:val="20"/>
                <w:shd w:val="clear" w:color="auto" w:fill="FFFFFF"/>
              </w:rPr>
              <w:br/>
              <w:t xml:space="preserve">Kommunalsteuer</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01.01. … bis 31.12.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01.01. … bis 31.12.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Summen</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3. Auf den bescheidgegenständlichen Zeitraum wurden bisher
Kommunalsteuerzahlungen in Höhe von EUR … fristgerecht und
Kommunalsteuerzahlungen in Höhe von EUR … verspätet (somit
insgesamt Kommunalsteuerzahlungen in Höhe von EUR …)
geleistet.</w:t>
      </w:r>
    </w:p>
    <w:p>
      <w:pPr>
        <w:widowControl w:val="on"/>
        <w:pBdr/>
        <w:spacing w:before="140" w:after="240" w:line="288" w:lineRule="auto"/>
        <w:ind w:left="0" w:right="0"/>
        <w:jc w:val="left"/>
      </w:pPr>
      <w:r>
        <w:rPr>
          <w:rFonts w:ascii="Arial" w:hAnsi="Arial" w:eastAsia="Arial" w:cs="Arial"/>
          <w:color w:val="000000"/>
          <w:sz w:val="20"/>
          <w:szCs w:val="20"/>
        </w:rPr>
        <w:t xml:space="preserve">Zufolge der mit diesem Bescheid für obigen Zeitraum
vorgenommenen Abgabenfestsetzung ergibt sich im Vergleich zu den
bisher geleisteten Zahlungen ein Kommunalsteuerrückstand in Höhe
von EUR …, welcher längstens binnen einem Monat ab Zustellung
dieses Bescheides (Fälligkeitstag) bei sonstiger Exekution ohne
jegliche vorherige Mahnung zu entrichten ist; allenfalls bevorrangt
anwendbare abweichende insolvenzrechtliche Fälligkeitsbestimmungen
bleiben unberührt.</w:t>
      </w:r>
    </w:p>
    <w:p>
      <w:pPr>
        <w:widowControl w:val="on"/>
        <w:pBdr/>
        <w:spacing w:before="0" w:after="105" w:line="288" w:lineRule="auto"/>
        <w:ind w:left="0" w:right="0"/>
        <w:jc w:val="left"/>
      </w:pPr>
      <w:r>
        <w:rPr>
          <w:rFonts w:ascii="Arial" w:hAnsi="Arial" w:eastAsia="Arial" w:cs="Arial"/>
          <w:b/>
          <w:bCs/>
          <w:color w:val="277DB9"/>
          <w:sz w:val="25"/>
          <w:szCs w:val="25"/>
        </w:rPr>
        <w:t xml:space="preserve">Hinweis:</w:t>
      </w:r>
    </w:p>
    <w:p>
      <w:pPr>
        <w:widowControl w:val="on"/>
        <w:pBdr/>
        <w:spacing w:before="140" w:after="240" w:line="288" w:lineRule="auto"/>
        <w:ind w:left="0" w:right="0"/>
        <w:jc w:val="left"/>
      </w:pPr>
      <w:r>
        <w:rPr>
          <w:rFonts w:ascii="Arial" w:hAnsi="Arial" w:eastAsia="Arial" w:cs="Arial"/>
          <w:color w:val="277DB9"/>
          <w:sz w:val="20"/>
          <w:szCs w:val="20"/>
        </w:rPr>
        <w:t xml:space="preserve">Bei einem Abgabenrückstand und/oder nicht fristgerecht
geleisteten Zahlungen in Höhe von zumindest EUR 250,– (bezogen
auf ein Kalenderjahr bzw Wirtschaftsjahr) erfolgt – wie nachstehend
dargestellt ist – eine Festsetzung des Säumniszuschlages. Als
(Jahres-)Mindestbetrag für den Säumniszuschlag auf Landes- und
Gemeindeabgaben ergibt sich somit gem § 217a Z 3 BAO
ein Betrag von EUR 5,–.</w:t>
      </w:r>
    </w:p>
    <w:p>
      <w:pPr>
        <w:widowControl w:val="on"/>
        <w:pBdr/>
        <w:spacing w:before="140" w:after="240" w:line="288" w:lineRule="auto"/>
        <w:ind w:left="0" w:right="0"/>
        <w:jc w:val="left"/>
      </w:pPr>
      <w:r>
        <w:rPr>
          <w:rFonts w:ascii="Arial" w:hAnsi="Arial" w:eastAsia="Arial" w:cs="Arial"/>
          <w:color w:val="000000"/>
          <w:sz w:val="20"/>
          <w:szCs w:val="20"/>
        </w:rPr>
        <w:t xml:space="preserve">4. a) Die Kommunalsteuer in Höhe des vorerwähnten
Abgabenrückstandes in Höhe von EUR … wurde iSd § 11
Abs 2 erster Satz KommStG 1993 nicht fristgerecht entrichtet
und stellt daher die (iSd § 217a Z 3 BAO in den
nachfolgend angeführten Kalenderjahren (bzw Wirtschaftsjahren)
jeweils zumindest EUR 250,– erreichende) Bemessungsgrundlage
für den Säumniszuschlag gem § 217 Abs 1 und 2 BAO
dar.</w:t>
      </w:r>
    </w:p>
    <w:p>
      <w:pPr>
        <w:widowControl w:val="on"/>
        <w:pBdr/>
        <w:spacing w:before="140" w:after="240" w:line="288" w:lineRule="auto"/>
        <w:ind w:left="0" w:right="0"/>
        <w:jc w:val="left"/>
      </w:pPr>
      <w:r>
        <w:rPr>
          <w:rFonts w:ascii="Arial" w:hAnsi="Arial" w:eastAsia="Arial" w:cs="Arial"/>
          <w:color w:val="000000"/>
          <w:sz w:val="20"/>
          <w:szCs w:val="20"/>
        </w:rPr>
        <w:t xml:space="preserve">Die Festsetzung des Säumniszuschlages stellt sich in den
einzelnen Kalendermonaten wie folgt dar bzw beruht auf folgenden
Bemessungsgrundlagen: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2265"/>
        <w:gridCol w:w="4095"/>
        <w:gridCol w:w="2055"/>
      </w:tblGrid>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(Teil-)Zeitraum (Kalendermonat)</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Bemessungsgrundlage für den
Säumniszuschlag</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Davon 2 %</w:t>
            </w:r>
            <w:r>
              <w:rPr>
                <w:rFonts w:ascii="Arial" w:hAnsi="Arial" w:eastAsia="Arial" w:cs="Arial"/>
                <w:color w:val="000000"/>
                <w:position w:val="0"/>
                <w:sz w:val="20"/>
                <w:szCs w:val="20"/>
                <w:shd w:val="clear" w:color="auto" w:fill="FFFFFF"/>
              </w:rPr>
              <w:br/>
              <w:t xml:space="preserve">Säumniszuschlag</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26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Summen</w:t>
            </w:r>
          </w:p>
        </w:tc>
        <w:tc>
          <w:tcPr>
            <w:tcW w:w="409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05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Hinweis:</w:t>
      </w:r>
    </w:p>
    <w:p>
      <w:pPr>
        <w:widowControl w:val="on"/>
        <w:pBdr/>
        <w:spacing w:before="140" w:after="240" w:line="288" w:lineRule="auto"/>
        <w:ind w:left="0" w:right="0"/>
        <w:jc w:val="left"/>
      </w:pPr>
      <w:r>
        <w:rPr>
          <w:rFonts w:ascii="Arial" w:hAnsi="Arial" w:eastAsia="Arial" w:cs="Arial"/>
          <w:color w:val="277DB9"/>
          <w:sz w:val="20"/>
          <w:szCs w:val="20"/>
        </w:rPr>
        <w:t xml:space="preserve">Während Selbstberechnungsabgaben – wie etwa die Kommunalsteuer –
zwar jahrweise „zusammengefasst“ festgesetzt werden dürfen, gilt
dies für Nebenansprüche nicht und müssen diese (zB der
Säumniszuschlag) daher monatlich – sozusagen „in eigenen
Bescheiden“ – festgesetzt werden. Es ist aber zulässig, mehrere
Bescheide (sofern diese jeweils für sich im Spruch des Bescheides
trennbar alle erforderlichen Merkmale aufweisen) in einem
Schriftstück zu kombinieren (kombinierter Bescheid,
Sammelbescheid). Wichtige grundlegende Informationen dazu finden
Sie in diesem Handbuch in Reg 4 Kap 4 (Dokument-ID 1121193),
während im Beitrag in Reg 7 Kap 3.9.4 (Dokument-ID 1103468) ua
detailliert hergeleitet wird, inwieweit Selbstberechnungsabgaben
unter welchen Bedingungen in zusammengefasster Festsetzung
bescheidmäßig festgesetzt werden dürfen und welche
Abgabenrückstände zur Bildung der Mindest-Bemessungsgrundlage des
Säumniszuschlages (Untergrenze des festzusetzenden
Säumniszuschlages bei Landes- und Gemeindeabgaben ist ein Betrag
von EUR 5,–) zusammengerechnet werden dürfen (Themenbereiche
„kombinierter Bescheid“ oder „Sammelbescheid“ bzw „zusammengefasste
Festsetzung“).</w:t>
      </w:r>
    </w:p>
    <w:p>
      <w:pPr>
        <w:widowControl w:val="on"/>
        <w:pBdr/>
        <w:spacing w:before="140" w:after="240" w:line="288" w:lineRule="auto"/>
        <w:ind w:left="0" w:right="0"/>
        <w:jc w:val="left"/>
      </w:pPr>
      <w:r>
        <w:rPr>
          <w:rFonts w:ascii="Arial" w:hAnsi="Arial" w:eastAsia="Arial" w:cs="Arial"/>
          <w:color w:val="000000"/>
          <w:sz w:val="20"/>
          <w:szCs w:val="20"/>
        </w:rPr>
        <w:t xml:space="preserve">Somit wird auf den vorerwähnten Kommunalsteuer-Abgabenrückstand
ein Säumniszuschlag in Höhe von 2 %, somit EUR …,
festgesetzt.</w:t>
      </w:r>
    </w:p>
    <w:p>
      <w:pPr>
        <w:widowControl w:val="on"/>
        <w:pBdr/>
        <w:spacing w:before="140" w:after="240" w:line="288" w:lineRule="auto"/>
        <w:ind w:left="0" w:right="0"/>
        <w:jc w:val="left"/>
      </w:pPr>
      <w:r>
        <w:rPr>
          <w:rFonts w:ascii="Arial" w:hAnsi="Arial" w:eastAsia="Arial" w:cs="Arial"/>
          <w:color w:val="000000"/>
          <w:sz w:val="20"/>
          <w:szCs w:val="20"/>
        </w:rPr>
        <w:t xml:space="preserve">b) Anrechenbare Abgabenzahlungen beim Säumniszuschlag:</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 Es wurde noch kein anrechenbarer Säumniszuschlag
entrichtet</w:t>
      </w:r>
    </w:p>
    <w:p>
      <w:pPr>
        <w:widowControl w:val="on"/>
        <w:pBdr/>
        <w:spacing w:before="140" w:after="240" w:line="288" w:lineRule="auto"/>
        <w:ind w:left="0" w:right="0"/>
        <w:jc w:val="left"/>
      </w:pPr>
      <w:r>
        <w:rPr>
          <w:rFonts w:ascii="Arial" w:hAnsi="Arial" w:eastAsia="Arial" w:cs="Arial"/>
          <w:color w:val="277DB9"/>
          <w:sz w:val="20"/>
          <w:szCs w:val="20"/>
        </w:rPr>
        <w:t xml:space="preserve">Auf den festgesetzten Säumniszuschlag sind keine Zahlungen
anrechenbar, sodass noch der gesamte festgesetzte Säumniszuschlag
in Höhe von EUR … aushaftet, welcher gem § 217a
Z 2 BAO bereits mit der Zustellung dieses Bescheides fällig
wurde; allenfalls bevorrangt anwendbare abweichende
insolvenzrechtliche Fälligkeitsbestimmungen bleiben unberührt.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Ein anrechenbarer Säumniszuschlag wurde bereits
entrichtet</w:t>
      </w:r>
    </w:p>
    <w:p>
      <w:pPr>
        <w:widowControl w:val="on"/>
        <w:pBdr/>
        <w:spacing w:before="140" w:after="240" w:line="288" w:lineRule="auto"/>
        <w:ind w:left="0" w:right="0"/>
        <w:jc w:val="left"/>
      </w:pPr>
      <w:r>
        <w:rPr>
          <w:rFonts w:ascii="Arial" w:hAnsi="Arial" w:eastAsia="Arial" w:cs="Arial"/>
          <w:color w:val="277DB9"/>
          <w:sz w:val="20"/>
          <w:szCs w:val="20"/>
        </w:rPr>
        <w:t xml:space="preserve">Bisher wurden nur EUR … an Säumniszuschlag entrichtet,
sodass noch ein Restbetrag an Säumniszuschlag in Höhe von
EUR … aushaftet, welcher gem § 217a Z 2 BAO
bereits mit der Zustellung dieses Bescheides fällig wurde;
allenfalls bevorrangt anwendbare abweichende insolvenzrechtliche
Fälligkeitsbestimmungen bleiben unberührt.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Begründung</w:t>
      </w:r>
    </w:p>
    <w:p>
      <w:pPr>
        <w:widowControl w:val="on"/>
        <w:pBdr/>
        <w:spacing w:before="140" w:after="240" w:line="288" w:lineRule="auto"/>
        <w:ind w:left="0" w:right="0"/>
        <w:jc w:val="left"/>
      </w:pPr>
      <w:r>
        <w:rPr>
          <w:rFonts w:ascii="Arial" w:hAnsi="Arial" w:eastAsia="Arial" w:cs="Arial"/>
          <w:color w:val="000000"/>
          <w:sz w:val="20"/>
          <w:szCs w:val="20"/>
        </w:rPr>
        <w:t xml:space="preserve">1. a) Bescheidaufhebung gem §§ 299 f BAO</w:t>
      </w:r>
    </w:p>
    <w:p>
      <w:pPr>
        <w:widowControl w:val="on"/>
        <w:pBdr/>
        <w:spacing w:before="140" w:after="240" w:line="288" w:lineRule="auto"/>
        <w:ind w:left="0" w:right="0"/>
        <w:jc w:val="left"/>
      </w:pPr>
      <w:r>
        <w:rPr>
          <w:rFonts w:ascii="Arial" w:hAnsi="Arial" w:eastAsia="Arial" w:cs="Arial"/>
          <w:color w:val="000000"/>
          <w:sz w:val="20"/>
          <w:szCs w:val="20"/>
        </w:rPr>
        <w:t xml:space="preserve">§ 299 BAO sieht vor, dass die Abgabenbehörde einen Bescheid
der Abgabenbehörde von Amts wegen (oder auf Antrag der Partei)
aufheben kann, wenn sich der Spruch des Bescheides als nicht
richtig erweist, wobei das Verfahren mit diesem aufhebenden
Bescheid in die Lage zurücktritt, in der es sich vor Erlassung des
aufhebenden Bescheides befunden hat, wobei der den aufgehobenen
Bescheid ersetzende Bescheid mit der Aufhebung zu verbinden ist.
Seit dem per 31.12.2016 in Kraft getretenen § 299a BAO dürfen
sich Aufhebungen gem § 299 BAO bei (Landes- und)
Gemeindeabgaben in Angelegenheiten des eigenen Wirkungsbereichs der
Gemeinde, insoweit ein zweistufiger Instanzenzug besteht, nur mehr
auf erstinstanzliche Bescheide beziehen (und demgemäß nur mehr von
Abgabenbehörden erster Instanz hinsichtlich der von der
Abgabenbehörde erster Instanz erlassenen Bescheide) ausgesprochen
werden.</w:t>
      </w:r>
    </w:p>
    <w:p>
      <w:pPr>
        <w:widowControl w:val="on"/>
        <w:pBdr/>
        <w:spacing w:before="140" w:after="240" w:line="288" w:lineRule="auto"/>
        <w:ind w:left="0" w:right="0"/>
        <w:jc w:val="left"/>
      </w:pPr>
      <w:r>
        <w:rPr>
          <w:rFonts w:ascii="Arial" w:hAnsi="Arial" w:eastAsia="Arial" w:cs="Arial"/>
          <w:color w:val="000000"/>
          <w:sz w:val="20"/>
          <w:szCs w:val="20"/>
        </w:rPr>
        <w:t xml:space="preserve">b) Inhaltliche Gründe der Bescheidaufhebung</w:t>
      </w:r>
    </w:p>
    <w:p>
      <w:pPr>
        <w:widowControl w:val="on"/>
        <w:pBdr/>
        <w:spacing w:before="140" w:after="240" w:line="288" w:lineRule="auto"/>
        <w:ind w:left="0" w:right="0"/>
        <w:jc w:val="left"/>
      </w:pPr>
      <w:r>
        <w:rPr>
          <w:rFonts w:ascii="Arial" w:hAnsi="Arial" w:eastAsia="Arial" w:cs="Arial"/>
          <w:color w:val="000000"/>
          <w:sz w:val="20"/>
          <w:szCs w:val="20"/>
        </w:rPr>
        <w:t xml:space="preserve">Die amtswegige Aufhebung des Bescheides vom … erwies sich
deswegen als notwendig, weil …</w:t>
      </w:r>
    </w:p>
    <w:p>
      <w:pPr>
        <w:widowControl w:val="on"/>
        <w:pBdr/>
        <w:spacing w:before="0" w:after="105" w:line="288" w:lineRule="auto"/>
        <w:ind w:left="0" w:right="0"/>
        <w:jc w:val="left"/>
      </w:pPr>
      <w:r>
        <w:rPr>
          <w:rFonts w:ascii="Arial" w:hAnsi="Arial" w:eastAsia="Arial" w:cs="Arial"/>
          <w:b/>
          <w:bCs/>
          <w:color w:val="277DB9"/>
          <w:sz w:val="25"/>
          <w:szCs w:val="25"/>
        </w:rPr>
        <w:t xml:space="preserve">Beispiel:</w:t>
      </w:r>
    </w:p>
    <w:p>
      <w:pPr>
        <w:widowControl w:val="on"/>
        <w:pBdr/>
        <w:spacing w:before="140" w:after="240" w:line="288" w:lineRule="auto"/>
        <w:ind w:left="0" w:right="0"/>
        <w:jc w:val="left"/>
      </w:pPr>
      <w:r>
        <w:rPr>
          <w:rFonts w:ascii="Arial" w:hAnsi="Arial" w:eastAsia="Arial" w:cs="Arial"/>
          <w:color w:val="277DB9"/>
          <w:sz w:val="20"/>
          <w:szCs w:val="20"/>
        </w:rPr>
        <w:t xml:space="preserve">… beim/bei der Abgabepflichtigen aus Anlass der
Insolvenzeröffnung für den Zeitraum ab 01.01.20… (neuerlich) eine
auch eine Kommunalsteuerprüfung umfassende Prüfung lohnabhängiger
Abgaben und Beiträge (PLB) bzw Sozialversicherungsprüfung iSd
§ 14 Abs 1 erster Satz Kommunalsteuergesetz 1993 –
KommStG 1993, BGBl 819/1993 in der geltenden Fassung, durch
den Prüfdienst für Lohnabgaben und Beiträge (im Auftrag des
Finanzamtes der Betriebsstätte) oder durch die Österreichische
Gesundheitskasse durchgeführt wurde, deren Prüfungsergebnisse der
Abgabenbehörde im Wege des Verfahrens FinanzOnline am … berichtet
wurden und welche von den bisher (im Bescheid vom …) der
Besteuerung zugrunde gelegten Bemessungsgrundlagen so
abweichen,</w:t>
      </w:r>
    </w:p>
    <w:p>
      <w:pPr>
        <w:widowControl w:val="on"/>
        <w:pBdr/>
        <w:spacing w:before="140" w:after="240" w:line="288" w:lineRule="auto"/>
        <w:ind w:left="0" w:right="0"/>
        <w:jc w:val="left"/>
      </w:pPr>
      <w:r>
        <w:rPr>
          <w:rFonts w:ascii="Arial" w:hAnsi="Arial" w:eastAsia="Arial" w:cs="Arial"/>
          <w:color w:val="000000"/>
          <w:sz w:val="20"/>
          <w:szCs w:val="20"/>
        </w:rPr>
        <w:t xml:space="preserve">…, dass sich der Spruch des zuvor erlassenen (und daher nun
aufzuhebenden) Bescheides als nicht richtig erweist.</w:t>
      </w:r>
    </w:p>
    <w:p>
      <w:pPr>
        <w:widowControl w:val="on"/>
        <w:pBdr/>
        <w:spacing w:before="140" w:after="240" w:line="288" w:lineRule="auto"/>
        <w:ind w:left="0" w:right="0"/>
        <w:jc w:val="left"/>
      </w:pPr>
      <w:r>
        <w:rPr>
          <w:rFonts w:ascii="Arial" w:hAnsi="Arial" w:eastAsia="Arial" w:cs="Arial"/>
          <w:color w:val="000000"/>
          <w:sz w:val="20"/>
          <w:szCs w:val="20"/>
        </w:rPr>
        <w:t xml:space="preserve">c) Auswirkungen der Bescheidaufhebung; notwendige
Folgerungen</w:t>
      </w:r>
    </w:p>
    <w:p>
      <w:pPr>
        <w:widowControl w:val="on"/>
        <w:pBdr/>
        <w:spacing w:before="140" w:after="240" w:line="288" w:lineRule="auto"/>
        <w:ind w:left="0" w:right="0"/>
        <w:jc w:val="left"/>
      </w:pPr>
      <w:r>
        <w:rPr>
          <w:rFonts w:ascii="Arial" w:hAnsi="Arial" w:eastAsia="Arial" w:cs="Arial"/>
          <w:color w:val="000000"/>
          <w:sz w:val="20"/>
          <w:szCs w:val="20"/>
        </w:rPr>
        <w:t xml:space="preserve">Durch den aufhebenden Bescheid tritt das Verfahren in die Lage
zurück, in der es sich vor Erlassung des aufhebenden Bescheides
befunden hat.</w:t>
      </w:r>
    </w:p>
    <w:p>
      <w:pPr>
        <w:widowControl w:val="on"/>
        <w:pBdr/>
        <w:spacing w:before="0" w:after="105" w:line="288" w:lineRule="auto"/>
        <w:ind w:left="0" w:right="0"/>
        <w:jc w:val="left"/>
      </w:pPr>
      <w:r>
        <w:rPr>
          <w:rFonts w:ascii="Arial" w:hAnsi="Arial" w:eastAsia="Arial" w:cs="Arial"/>
          <w:b/>
          <w:bCs/>
          <w:color w:val="277DB9"/>
          <w:sz w:val="25"/>
          <w:szCs w:val="25"/>
        </w:rPr>
        <w:t xml:space="preserve">Beispiel:</w:t>
      </w:r>
    </w:p>
    <w:p>
      <w:pPr>
        <w:widowControl w:val="on"/>
        <w:pBdr/>
        <w:spacing w:before="140" w:after="240" w:line="288" w:lineRule="auto"/>
        <w:ind w:left="0" w:right="0"/>
        <w:jc w:val="left"/>
      </w:pPr>
      <w:r>
        <w:rPr>
          <w:rFonts w:ascii="Arial" w:hAnsi="Arial" w:eastAsia="Arial" w:cs="Arial"/>
          <w:color w:val="277DB9"/>
          <w:sz w:val="20"/>
          <w:szCs w:val="20"/>
        </w:rPr>
        <w:t xml:space="preserve">Der/Die Abgabepflichtige hat für sein/ihr Unternehmen die
Verpflichtung, monatlich laufend die Kommunalsteuer zu entrichten
und jährlich bis zum 31.03. des Folgejahres eine
Kommunalsteuererklärung einzureichen, nicht vollständig erfüllt,
nachdem für den gesamten bescheidgegenständlichen Zeitraum nur
Zahlungen in Höhe von EUR …, … geleistet wurden/und auch die
Abgabenerklärung/en für das/die Kalenderjahr/e … bzw für das (wegen
Schließung der einzigen Betriebsstätte in der Gemeinde iSd
§ 11 Abs 4 KommStG 1993 zusätzlich binnen Monatsfrist
erklärungspflichtige bis zum … 20…reichende) Rumpfjahr 20… nicht
eingereicht wurde/n. Daher ist die Kommunalsteuer für den
bescheidgegenständlichen Zeitraum durch die zuständige
Abgabenbehörde erster Instanz mittels Abgabenbescheides
festzusetzen.</w:t>
      </w:r>
    </w:p>
    <w:p>
      <w:pPr>
        <w:widowControl w:val="on"/>
        <w:pBdr/>
        <w:spacing w:before="140" w:after="240" w:line="288" w:lineRule="auto"/>
        <w:ind w:left="0" w:right="0"/>
        <w:jc w:val="left"/>
      </w:pPr>
      <w:r>
        <w:rPr>
          <w:rFonts w:ascii="Arial" w:hAnsi="Arial" w:eastAsia="Arial" w:cs="Arial"/>
          <w:color w:val="000000"/>
          <w:sz w:val="20"/>
          <w:szCs w:val="20"/>
        </w:rPr>
        <w:t xml:space="preserve">2. Neue Kommunalsteuerfestsetzung für den Zeitraum … bis …</w:t>
      </w:r>
    </w:p>
    <w:p>
      <w:pPr>
        <w:widowControl w:val="on"/>
        <w:pBdr/>
        <w:spacing w:before="140" w:after="240" w:line="288" w:lineRule="auto"/>
        <w:ind w:left="0" w:right="0"/>
        <w:jc w:val="left"/>
      </w:pPr>
      <w:r>
        <w:rPr>
          <w:rFonts w:ascii="Arial" w:hAnsi="Arial" w:eastAsia="Arial" w:cs="Arial"/>
          <w:color w:val="000000"/>
          <w:sz w:val="20"/>
          <w:szCs w:val="20"/>
        </w:rPr>
        <w:t xml:space="preserve">Die Abgabenfestsetzungen für die Jahre … bis … erfolgen nun
anhand der oben angeführten im Wege des Verfahrens FinanzOnline am
… übermittelten PLB-Prüfungsergebnisse. Daher stellen sich die
Kommunalsteuer-Bemessungsgrundlagen für die einzelnen Jahre wie
folgt dar: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470"/>
        <w:gridCol w:w="6540"/>
        <w:gridCol w:w="2340"/>
      </w:tblGrid>
      <w:tr>
        <w:trPr>
          <w:trHeight w:val="0" w:hRule="atLeast"/>
        </w:trPr>
        <w:tc>
          <w:tcPr>
            <w:tcW w:w="147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Zeitraum/Jahr</w:t>
            </w:r>
          </w:p>
        </w:tc>
        <w:tc>
          <w:tcPr>
            <w:tcW w:w="65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Herkunft der
KommSt-Bemessungsgrundlage</w:t>
            </w:r>
          </w:p>
        </w:tc>
        <w:tc>
          <w:tcPr>
            <w:tcW w:w="23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KommSt-Bemessungsgrundlage</w:t>
            </w:r>
          </w:p>
        </w:tc>
      </w:tr>
      <w:tr>
        <w:trPr>
          <w:trHeight w:val="0" w:hRule="atLeast"/>
        </w:trPr>
        <w:tc>
          <w:tcPr>
            <w:tcW w:w="147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w:t>
            </w:r>
          </w:p>
        </w:tc>
        <w:tc>
          <w:tcPr>
            <w:tcW w:w="65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Bemessungsgrundlage laut erwähnter Prüfung (PLB)</w:t>
            </w:r>
          </w:p>
        </w:tc>
        <w:tc>
          <w:tcPr>
            <w:tcW w:w="23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EUR …, …</w:t>
            </w:r>
          </w:p>
        </w:tc>
      </w:tr>
      <w:tr>
        <w:trPr>
          <w:trHeight w:val="0" w:hRule="atLeast"/>
        </w:trPr>
        <w:tc>
          <w:tcPr>
            <w:tcW w:w="147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01.01.20… bis … 20…</w:t>
            </w:r>
          </w:p>
        </w:tc>
        <w:tc>
          <w:tcPr>
            <w:tcW w:w="65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Bemessungsgrundlage laut erwähnter Prüfung (PLB)</w:t>
            </w:r>
          </w:p>
        </w:tc>
        <w:tc>
          <w:tcPr>
            <w:tcW w:w="23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EUR …, …</w:t>
            </w:r>
          </w:p>
        </w:tc>
      </w:tr>
      <w:tr>
        <w:trPr>
          <w:trHeight w:val="0" w:hRule="atLeast"/>
        </w:trPr>
        <w:tc>
          <w:tcPr>
            <w:tcW w:w="8010" w:type="dxa"/>
            <w:gridSpan w:val="2"/>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Summe KommSt-Bemessungsgrundlage</w:t>
            </w:r>
          </w:p>
        </w:tc>
        <w:tc>
          <w:tcPr>
            <w:tcW w:w="23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EUR …, …</w:t>
            </w:r>
          </w:p>
        </w:tc>
      </w:tr>
      <w:tr>
        <w:trPr>
          <w:trHeight w:val="0" w:hRule="atLeast"/>
        </w:trPr>
        <w:tc>
          <w:tcPr>
            <w:tcW w:w="8010" w:type="dxa"/>
            <w:gridSpan w:val="2"/>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Davon 3 % Kommunalsteuer</w:t>
            </w:r>
          </w:p>
        </w:tc>
        <w:tc>
          <w:tcPr>
            <w:tcW w:w="2340"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EUR …, …</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Der/Die als Organ der Gemeinde tätig gewesene PLB-Prüfer/in gibt
an, dass die Kommunalsteuerbemessungsgrundlagen derart ermittelt
wurden, dass … [Übernahme des Begründungstextes aus dem
übermittelten PLB-Prüfungsergebnis] und dass die entsprechenden
Kommunalsteuerbemessungsgrundlagen im Zuge der Prüfung anerkannt
[alternativ, falls zutreffend: „nicht anerkannt“] wurden.</w:t>
      </w:r>
    </w:p>
    <w:p>
      <w:pPr>
        <w:widowControl w:val="on"/>
        <w:pBdr/>
        <w:spacing w:before="140" w:after="240" w:line="288" w:lineRule="auto"/>
        <w:ind w:left="0" w:right="0"/>
        <w:jc w:val="left"/>
      </w:pPr>
      <w:r>
        <w:rPr>
          <w:rFonts w:ascii="Arial" w:hAnsi="Arial" w:eastAsia="Arial" w:cs="Arial"/>
          <w:color w:val="000000"/>
          <w:sz w:val="20"/>
          <w:szCs w:val="20"/>
        </w:rPr>
        <w:t xml:space="preserve">Die Kommunalsteuer war unter der wie vorbeschrieben erfüllten
Voraussetzung, dass sich die Selbstberechnung als nicht richtig
erwiesen hat, gem § 11 Abs 3 zweiter Satz KommStG
1993 bescheidmäßig festzusetzen.</w:t>
      </w:r>
    </w:p>
    <w:p>
      <w:pPr>
        <w:widowControl w:val="on"/>
        <w:pBdr/>
        <w:spacing w:before="140" w:after="240" w:line="288" w:lineRule="auto"/>
        <w:ind w:left="0" w:right="0"/>
        <w:jc w:val="left"/>
      </w:pPr>
      <w:r>
        <w:rPr>
          <w:rFonts w:ascii="Arial" w:hAnsi="Arial" w:eastAsia="Arial" w:cs="Arial"/>
          <w:color w:val="000000"/>
          <w:sz w:val="20"/>
          <w:szCs w:val="20"/>
        </w:rPr>
        <w:t xml:space="preserve">3. (Angepasste) Festsetzung des Säumniszuschlages</w:t>
      </w:r>
    </w:p>
    <w:p>
      <w:pPr>
        <w:widowControl w:val="on"/>
        <w:pBdr/>
        <w:spacing w:before="140" w:after="240" w:line="288" w:lineRule="auto"/>
        <w:ind w:left="0" w:right="0"/>
        <w:jc w:val="left"/>
      </w:pPr>
      <w:r>
        <w:rPr>
          <w:rFonts w:ascii="Arial" w:hAnsi="Arial" w:eastAsia="Arial" w:cs="Arial"/>
          <w:color w:val="000000"/>
          <w:sz w:val="20"/>
          <w:szCs w:val="20"/>
        </w:rPr>
        <w:t xml:space="preserve">Der im Spruch dieses Bescheides ausgewiesene Abgabenrückstand
wäre iSd § 11 Abs 2 KommStG 1993 in seinen jeweiligen
Teilbeträgen bereits je bis zum 15. des darauffolgenden Monates
(Fälligkeitstag) an die Gemeinde zu entrichten gewesen. § 217
Abs 1 und 2 BAO in Verbindung mit § 217a Z 2 BAO
sieht vor, dass ein Säumniszuschlag in Höhe von 2 % des nicht
zeitgerecht entrichteten Abgabenbetrages zu entrichten ist, wenn
eine Abgabe nicht spätestens am Fälligkeitstag entrichtet wird und
der festzusetzende Säumniszuschlag (pro
Kalenderjahr) zumindest EUR 5,– erreicht, wobei
Säumniszuschläge im Zeitpunkt der Zustellung des sie festsetzenden
Bescheides fällig werden.</w:t>
      </w:r>
    </w:p>
    <w:p>
      <w:pPr>
        <w:widowControl w:val="on"/>
        <w:pBdr/>
        <w:spacing w:before="140" w:after="240" w:line="288" w:lineRule="auto"/>
        <w:ind w:left="0" w:right="0"/>
        <w:jc w:val="left"/>
      </w:pPr>
      <w:r>
        <w:rPr>
          <w:rFonts w:ascii="Arial" w:hAnsi="Arial" w:eastAsia="Arial" w:cs="Arial"/>
          <w:color w:val="000000"/>
          <w:sz w:val="20"/>
          <w:szCs w:val="20"/>
        </w:rPr>
        <w:t xml:space="preserve">Nach § 11 Abs 1 Kommunalsteuergesetz 1993 (KommStG
1993), BGBl 819/1993 in der geltenden Fassung, entsteht die
Steuerschuld mit Ablauf des Kalendermonats, in dem Lohnzahlungen
gewährt worden sind. Nach Abs 2 der erwähnten Bestimmung ist
die Kommunalsteuer vom Unternehmer für jeden Kalendermonat selbst
zu berechnen und bis zum 15. des darauf folgenden Monates
(Fälligkeitstag) an die Gemeinde zu entrichten.</w:t>
      </w:r>
    </w:p>
    <w:p>
      <w:pPr>
        <w:widowControl w:val="on"/>
        <w:pBdr/>
        <w:spacing w:before="140" w:after="240" w:line="288" w:lineRule="auto"/>
        <w:ind w:left="0" w:right="0"/>
        <w:jc w:val="left"/>
      </w:pPr>
      <w:r>
        <w:rPr>
          <w:rFonts w:ascii="Arial" w:hAnsi="Arial" w:eastAsia="Arial" w:cs="Arial"/>
          <w:color w:val="000000"/>
          <w:sz w:val="20"/>
          <w:szCs w:val="20"/>
        </w:rPr>
        <w:t xml:space="preserve">Wie in nachfolgender Aufstellung ersichtlich, wurden mehrere
Kommunalsteuerbeträge nicht fristgerecht – da nicht spätestens am
Fälligkeitstag – entrichtet, sodass gem § 217 Abs 1
BAO mit Ablauf des dargestellten Fälligkeitstages die Verpflichtung
zur Entrichtung eines Säumniszuschlages eintritt.</w:t>
      </w:r>
    </w:p>
    <w:tbl>
      <w:tblPr>
        <w:tblStyle w:val="NormalTablePHPDOCX"/>
        <w:tblW w:w="8700" w:type="dxa"/>
        <w:tblInd w:w="0" w:type="auto"/>
        <w:tblBorders>
          <w:top w:val="single" w:color="000000" w:sz="2"/>
          <w:left w:val="single" w:color="000000" w:sz="2"/>
          <w:bottom w:val="single" w:color="000000" w:sz="2"/>
          <w:right w:val="single" w:color="000000" w:sz="2"/>
        </w:tblBorders>
      </w:tblPr>
      <w:tblGrid>
        <w:gridCol w:w="2175"/>
        <w:gridCol w:w="2175"/>
        <w:gridCol w:w="2175"/>
        <w:gridCol w:w="2175"/>
      </w:tblGrid>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Kommunalsteuer für den Kalendermonat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Fälligkeitstag</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Tatsächlich (verspätet) erfolgte Zahlung am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Abgabenbetrag</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6525" w:type="dxa"/>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Insgesamt wurden somit Abgabenbeträge in folgender Höhe nicht
fristgerecht entrichtet (= Bemessungsgrundlage für den
Säumniszuschlag):</w:t>
            </w:r>
          </w:p>
        </w:tc>
        <w:tc>
          <w:tcPr>
            <w:tcW w:w="2175" w:type="dxa"/>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Wie aus obiger Aufstellung ersichtlich, wurde somit ein
Kommunalsteuerbetrag in Höhe von EUR … im Sinne der
vorstehenden materiellrechtlichen Bestimmungen (bzw im Sinne
etwaiger bescheidmäßiger Festsetzungen) nicht fristgerecht – da
nicht spätestens am Fälligkeitstag – entrichtet, sodass
gem §§ 217 und 217a BAO hierauf ein 2%iger (gem
§ 204 Abs 1 BAO auf volle Cent gerundeter)
Säumniszuschlag in Höhe von EUR … festzusetzen
war. Gegenstand der Säumniszuschlagfestsetzung sind – wie aus
der Tabelle im Spruch dieses Bescheides hervorgeht – nur solche
Kalenderjahre, wo die Summe der nicht fristgerecht erfolgten
Zahlungen eine Bemessungsgrundlage von zumindest EUR 250,–
erreicht.</w:t>
      </w:r>
    </w:p>
    <w:p>
      <w:pPr>
        <w:widowControl w:val="on"/>
        <w:pBdr/>
        <w:spacing w:before="140" w:after="240" w:line="288" w:lineRule="auto"/>
        <w:ind w:left="0" w:right="0"/>
        <w:jc w:val="left"/>
      </w:pPr>
      <w:r>
        <w:rPr>
          <w:rFonts w:ascii="Arial" w:hAnsi="Arial" w:eastAsia="Arial" w:cs="Arial"/>
          <w:color w:val="000000"/>
          <w:sz w:val="20"/>
          <w:szCs w:val="20"/>
        </w:rPr>
        <w:t xml:space="preserve">Im Spruch dieses Bescheides war daher auch der zu entrichtende
Säumniszuschlag, insoweit er auf (verspätete Zahlungen und) den
noch ausständigen Abgabenbetrag entfällt, festzusetzen.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Rechtsmittelbelehrung</w:t>
      </w:r>
    </w:p>
    <w:p>
      <w:pPr>
        <w:widowControl w:val="on"/>
        <w:pBdr/>
        <w:spacing w:before="140" w:after="240" w:line="288" w:lineRule="auto"/>
        <w:ind w:left="0" w:right="0"/>
        <w:jc w:val="left"/>
      </w:pPr>
      <w:r>
        <w:rPr>
          <w:rFonts w:ascii="Arial" w:hAnsi="Arial" w:eastAsia="Arial" w:cs="Arial"/>
          <w:color w:val="000000"/>
          <w:sz w:val="20"/>
          <w:szCs w:val="20"/>
        </w:rPr>
        <w:t xml:space="preserve">Sie haben das Recht, gegen diesen Bescheid das Rechtsmittel der
Berufung einzubringen. Die Berufung ist innerhalb eines Monats nach
Zustellung dieses Bescheides zur Post zu geben oder schriftlich bei
der Gemeinde … einzubringen.</w:t>
      </w:r>
    </w:p>
    <w:p>
      <w:pPr>
        <w:widowControl w:val="on"/>
        <w:pBdr/>
        <w:spacing w:before="140" w:after="240" w:line="288" w:lineRule="auto"/>
        <w:ind w:left="0" w:right="0"/>
        <w:jc w:val="left"/>
      </w:pPr>
      <w:r>
        <w:rPr>
          <w:rFonts w:ascii="Arial" w:hAnsi="Arial" w:eastAsia="Arial" w:cs="Arial"/>
          <w:color w:val="000000"/>
          <w:sz w:val="20"/>
          <w:szCs w:val="20"/>
        </w:rPr>
        <w:t xml:space="preserve">Die Berufung kann auch fernschriftlich, im Wege
automationsunterstützter Datenübertragung oder in jeder anderen
technisch möglichen Weise eingereicht werden. Für sämtliche Formen
der elektronischen Einbringung von Eingaben (einschließlich der
Einbringung per E-Mail) haben Sie die im Internet unter der Adresse
„…“ bekannt gemachten technischen Voraussetzungen und
organisatorischen Beschränkungen (besondere Übermittlungsformen,
zulässige Datenträger, Dateiformate und Dateigrößen) des
elektronischen Verkehrs zu beachten.</w:t>
      </w:r>
    </w:p>
    <w:p>
      <w:pPr>
        <w:widowControl w:val="on"/>
        <w:pBdr/>
        <w:spacing w:before="140" w:after="240" w:line="288" w:lineRule="auto"/>
        <w:ind w:left="0" w:right="0"/>
        <w:jc w:val="left"/>
      </w:pPr>
      <w:r>
        <w:rPr>
          <w:rFonts w:ascii="Arial" w:hAnsi="Arial" w:eastAsia="Arial" w:cs="Arial"/>
          <w:color w:val="000000"/>
          <w:sz w:val="20"/>
          <w:szCs w:val="20"/>
        </w:rPr>
        <w:t xml:space="preserve">Die Berufung hat den Bescheid, gegen den sie sich richtet, zu
bezeichnen. Weiters hat die Berufung die Erklärung, in welchen
Punkten der Bescheid angefochten wird, die Erklärung, welche
Änderungen beantragt werden und eine Begründung zu enthalten.</w:t>
      </w:r>
    </w:p>
    <w:p>
      <w:pPr>
        <w:widowControl w:val="on"/>
        <w:pBdr/>
        <w:spacing w:before="140" w:after="240" w:line="288" w:lineRule="auto"/>
        <w:ind w:left="0" w:right="0"/>
        <w:jc w:val="left"/>
      </w:pPr>
      <w:r>
        <w:rPr>
          <w:rFonts w:ascii="Arial" w:hAnsi="Arial" w:eastAsia="Arial" w:cs="Arial"/>
          <w:color w:val="000000"/>
          <w:sz w:val="20"/>
          <w:szCs w:val="20"/>
        </w:rPr>
        <w:t xml:space="preserve">Die Berufung hat keine aufschiebende Wirkung, das heißt, dass
durch Einbringung einer Berufung die Wirksamkeit des angefochtenen
Bescheides nicht gehemmt und insbesondere die Einhebung und
zwangsweise Einbringung einer Abgabe nicht aufgehalten wird.</w:t>
      </w:r>
    </w:p>
    <w:p>
      <w:pPr>
        <w:widowControl w:val="on"/>
        <w:pBdr/>
        <w:spacing w:before="140" w:after="240" w:line="288" w:lineRule="auto"/>
        <w:ind w:left="0" w:right="0"/>
        <w:jc w:val="left"/>
      </w:pPr>
      <w:r>
        <w:rPr>
          <w:rFonts w:ascii="Arial" w:hAnsi="Arial" w:eastAsia="Arial" w:cs="Arial"/>
          <w:color w:val="000000"/>
          <w:sz w:val="20"/>
          <w:szCs w:val="20"/>
        </w:rPr>
        <w:t xml:space="preserve">Der Bürgermeister: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des Bürgermeisters]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9551917" w:name="note1"/>
            <w:bookmarkEnd w:id="59551917"/>
            <w:bookmarkStart w:id="8396186486668" w:name="note1"/>
            <w:r>
              <w:rPr>
                <w:rFonts w:ascii="Arial" w:hAnsi="Arial" w:eastAsia="Arial" w:cs="Arial"/>
                <w:b/>
                <w:bCs/>
                <w:color w:val="000000"/>
                <w:position w:val="0"/>
                <w:sz w:val="20"/>
                <w:szCs w:val="20"/>
              </w:rPr>
              <w:t xml:space="preserve">[1]</w:t>
            </w:r>
            <w:bookmarkEnd w:id="839618648666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Begriff „Insolvenzverwalter/in“ gelangt in
Insolvenzverfahren und in Sanierungsverfahren ohne (!)
Eigenverwaltung (jeweils anstelle der seit 01.07.2010 wegen
§ 275 Abs 1 Z 14 und 15 IO als veraltet anzusehenden
Bezeichnung „Masseverwalter/in“ gem § 275 Abs 1
Z 14 IO) zur Anwendung; in Sanierungsverfahren mit (!)
Eigenverwaltung hat – auch in weiterer Folge (!) in diesem Bescheid
soweit erforderlich korrigierend – jeweils vom (von der)
„Sanierungsverwalter(in)“ die Rede zu sein.</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591527" w:name="note2"/>
            <w:bookmarkEnd w:id="6591527"/>
            <w:bookmarkStart w:id="6594422055695" w:name="note2"/>
            <w:r>
              <w:rPr>
                <w:rFonts w:ascii="Arial" w:hAnsi="Arial" w:eastAsia="Arial" w:cs="Arial"/>
                <w:b/>
                <w:bCs/>
                <w:color w:val="000000"/>
                <w:position w:val="0"/>
                <w:sz w:val="20"/>
                <w:szCs w:val="20"/>
              </w:rPr>
              <w:t xml:space="preserve">[2]</w:t>
            </w:r>
            <w:bookmarkEnd w:id="659442205569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Zeitlich eingeschränkte Anwendbarkeit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Allgemein muss eine auf § 299 BAO gestützte Aufhebung
binnen Jahresfrist ab Zustellung des aufzuhebenden Bescheides
erfolgen (bzw zumindest innerhalb dieser Frist beantragt worden
sein) – siehe letzter Teiltatbestand in § 302 Abs 1 BAO
(bzw § 302 Abs 2 lit b BAO).</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Andernfalls ist für gewünschte oder erforderliche Eingriffe in
erlassene Bescheide nach anderen geeigneten verfahrensrechtlichen
Maßnahmen (welche auch zeitlich gesehen noch rechtskonform zur
Verfügung stehen) – wie beispielsweise solche iSd §§ 293,
293b, 294, 295, 295a, 297, 298 oder 303 BAO zu suchen, wobei (neben
der Erfüllung der jeweiligen zeitlichen Einschränkungen) auch die
Erfüllung der jeweiligen inhaltlichen Voraussetzungen zu prüfen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4879363" w:name="note3"/>
            <w:bookmarkEnd w:id="74879363"/>
            <w:bookmarkStart w:id="6050778946123" w:name="note3"/>
            <w:r>
              <w:rPr>
                <w:rFonts w:ascii="Arial" w:hAnsi="Arial" w:eastAsia="Arial" w:cs="Arial"/>
                <w:b/>
                <w:bCs/>
                <w:color w:val="000000"/>
                <w:position w:val="0"/>
                <w:sz w:val="20"/>
                <w:szCs w:val="20"/>
              </w:rPr>
              <w:t xml:space="preserve">[3]</w:t>
            </w:r>
            <w:bookmarkEnd w:id="605077894612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Keine Aufhebung zweitinstanzlicher Bescheide!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einen zweitinstanzlichen Bescheid konnte im Wege der
Bescheidaufhebung auf Grundlage des § 299 BAO wegen der
Einführung des § 299a BAO durch BGBl 117/2016 nur bis zum
30.12.2016 eingegriffen werden (Zeitpunkt des Inkrafttretens des
Abgabenänderungsgesetzes 2016 – AbgÄG 2016 hinsichtlich jener
Bestimmungen, deren Inkrafttreten nicht gesondert durch § 323
Abs 51 BAO bestimmt ist).</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331247">
    <w:multiLevelType w:val="hybridMultilevel"/>
    <w:lvl w:ilvl="0" w:tplc="42176987">
      <w:start w:val="1"/>
      <w:numFmt w:val="decimal"/>
      <w:lvlText w:val="%1."/>
      <w:lvlJc w:val="left"/>
      <w:pPr>
        <w:ind w:left="720" w:hanging="360"/>
      </w:pPr>
    </w:lvl>
    <w:lvl w:ilvl="1" w:tplc="42176987" w:tentative="1">
      <w:start w:val="1"/>
      <w:numFmt w:val="lowerLetter"/>
      <w:lvlText w:val="%2."/>
      <w:lvlJc w:val="left"/>
      <w:pPr>
        <w:ind w:left="1440" w:hanging="360"/>
      </w:pPr>
    </w:lvl>
    <w:lvl w:ilvl="2" w:tplc="42176987" w:tentative="1">
      <w:start w:val="1"/>
      <w:numFmt w:val="lowerRoman"/>
      <w:lvlText w:val="%3."/>
      <w:lvlJc w:val="right"/>
      <w:pPr>
        <w:ind w:left="2160" w:hanging="180"/>
      </w:pPr>
    </w:lvl>
    <w:lvl w:ilvl="3" w:tplc="42176987" w:tentative="1">
      <w:start w:val="1"/>
      <w:numFmt w:val="decimal"/>
      <w:lvlText w:val="%4."/>
      <w:lvlJc w:val="left"/>
      <w:pPr>
        <w:ind w:left="2880" w:hanging="360"/>
      </w:pPr>
    </w:lvl>
    <w:lvl w:ilvl="4" w:tplc="42176987" w:tentative="1">
      <w:start w:val="1"/>
      <w:numFmt w:val="lowerLetter"/>
      <w:lvlText w:val="%5."/>
      <w:lvlJc w:val="left"/>
      <w:pPr>
        <w:ind w:left="3600" w:hanging="360"/>
      </w:pPr>
    </w:lvl>
    <w:lvl w:ilvl="5" w:tplc="42176987" w:tentative="1">
      <w:start w:val="1"/>
      <w:numFmt w:val="lowerRoman"/>
      <w:lvlText w:val="%6."/>
      <w:lvlJc w:val="right"/>
      <w:pPr>
        <w:ind w:left="4320" w:hanging="180"/>
      </w:pPr>
    </w:lvl>
    <w:lvl w:ilvl="6" w:tplc="42176987" w:tentative="1">
      <w:start w:val="1"/>
      <w:numFmt w:val="decimal"/>
      <w:lvlText w:val="%7."/>
      <w:lvlJc w:val="left"/>
      <w:pPr>
        <w:ind w:left="5040" w:hanging="360"/>
      </w:pPr>
    </w:lvl>
    <w:lvl w:ilvl="7" w:tplc="42176987" w:tentative="1">
      <w:start w:val="1"/>
      <w:numFmt w:val="lowerLetter"/>
      <w:lvlText w:val="%8."/>
      <w:lvlJc w:val="left"/>
      <w:pPr>
        <w:ind w:left="5760" w:hanging="360"/>
      </w:pPr>
    </w:lvl>
    <w:lvl w:ilvl="8" w:tplc="42176987" w:tentative="1">
      <w:start w:val="1"/>
      <w:numFmt w:val="lowerRoman"/>
      <w:lvlText w:val="%9."/>
      <w:lvlJc w:val="right"/>
      <w:pPr>
        <w:ind w:left="6480" w:hanging="180"/>
      </w:pPr>
    </w:lvl>
  </w:abstractNum>
  <w:abstractNum w:abstractNumId="13331246">
    <w:multiLevelType w:val="hybridMultilevel"/>
    <w:lvl w:ilvl="0" w:tplc="717838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331246">
    <w:abstractNumId w:val="13331246"/>
  </w:num>
  <w:num w:numId="13331247">
    <w:abstractNumId w:val="133312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26213514" Type="http://schemas.openxmlformats.org/officeDocument/2006/relationships/numbering" Target="numbering.xml"/><Relationship Id="rId12721557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