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3598869" w:name="document"/>
    <w:bookmarkEnd w:id="43598869"/>
    <w:p/>
    <w:p>
      <w:pPr>
        <w:widowControl w:val="on"/>
        <w:pBdr/>
        <w:spacing w:before="0" w:after="280" w:line="240" w:lineRule="auto"/>
        <w:ind w:left="0" w:right="0"/>
        <w:jc w:val="left"/>
      </w:pPr>
      <w:r>
        <w:rPr>
          <w:rFonts w:ascii="Arial" w:hAnsi="Arial" w:eastAsia="Arial" w:cs="Arial"/>
          <w:color w:val="363A40"/>
          <w:sz w:val="24"/>
          <w:szCs w:val="24"/>
        </w:rPr>
        <w:t xml:space="preserve">Dokument-ID: 796247 | Robert Koch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Bewilligung einer Zahlungserleichterung durch den Bürgermeister
(EWB; zweistufiger Instanzenzug)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b/>
          <w:bCs/>
          <w:color w:val="000000"/>
          <w:sz w:val="20"/>
          <w:szCs w:val="20"/>
        </w:rPr>
        <w:br/>
        <w:t xml:space="preserve">Inhaltlicher Anwendungsfall:</w:t>
      </w:r>
      <w:r>
        <w:rPr>
          <w:rFonts w:ascii="Arial" w:hAnsi="Arial" w:eastAsia="Arial" w:cs="Arial"/>
          <w:color w:val="000000"/>
          <w:sz w:val="20"/>
          <w:szCs w:val="20"/>
        </w:rPr>
        <w:t xml:space="preserve"> Der hier vorliegende Bescheid
dient der Bewilligung einer schriftlich beantragten
Zahlungserleichterung. Die Rechtsgrundlage für die Bewilligung
einer beantragten Zahlungserleichterung ist § 212 Abs 1
BAO in Zusammenschau mit der jeweiligen landesrechtlichen
Zuständigkeitsregelung.</w:t>
      </w:r>
    </w:p>
    <w:p>
      <w:pPr>
        <w:widowControl w:val="on"/>
        <w:pBdr/>
        <w:spacing w:before="140" w:after="240" w:line="288" w:lineRule="auto"/>
        <w:ind w:left="0" w:right="0"/>
        <w:jc w:val="left"/>
      </w:pPr>
      <w:r>
        <w:rPr>
          <w:rFonts w:ascii="Arial" w:hAnsi="Arial" w:eastAsia="Arial" w:cs="Arial"/>
          <w:b/>
          <w:bCs/>
          <w:color w:val="000000"/>
          <w:sz w:val="20"/>
          <w:szCs w:val="20"/>
        </w:rPr>
        <w:t xml:space="preserve">Rechtsmittelverfahren:</w:t>
      </w:r>
      <w:r>
        <w:rPr>
          <w:rFonts w:ascii="Arial" w:hAnsi="Arial" w:eastAsia="Arial" w:cs="Arial"/>
          <w:color w:val="000000"/>
          <w:sz w:val="20"/>
          <w:szCs w:val="20"/>
        </w:rPr>
        <w:t xml:space="preserve"> Der hier vorliegende
Bescheid bezieht sich auf eine als Angelegenheit des
</w:t>
      </w:r>
      <w:r>
        <w:rPr>
          <w:rFonts w:ascii="Arial" w:hAnsi="Arial" w:eastAsia="Arial" w:cs="Arial"/>
          <w:b/>
          <w:bCs/>
          <w:color w:val="000000"/>
          <w:sz w:val="20"/>
          <w:szCs w:val="20"/>
        </w:rPr>
        <w:t xml:space="preserve">eigenen Wirkungsbereichs der Gemeinde</w:t>
      </w:r>
      <w:r>
        <w:rPr>
          <w:rFonts w:ascii="Arial" w:hAnsi="Arial" w:eastAsia="Arial" w:cs="Arial"/>
          <w:color w:val="000000"/>
          <w:sz w:val="20"/>
          <w:szCs w:val="20"/>
        </w:rPr>
        <w:t xml:space="preserve"> (EWB) zu
verwaltende Abgabe, wo der jeweilige Landesgesetzgeber den iSd
Art 118 Abs 4 zweiter Satz erster Tatbestand B-VG
bestehenden zweistufigen Instanzenzug nicht ausgeschlossen hat und
wo daher ein Berufungsrecht an die Abgabenbehörde zweiter Instanz
besteht (Berufungsverfahren iSd § 288 Abs 1 BAO).</w:t>
      </w:r>
    </w:p>
    <w:p>
      <w:pPr>
        <w:widowControl w:val="on"/>
        <w:pBdr/>
        <w:spacing w:before="140" w:after="240" w:line="288" w:lineRule="auto"/>
        <w:ind w:left="0" w:right="0"/>
        <w:jc w:val="left"/>
      </w:pPr>
      <w:r>
        <w:rPr>
          <w:rFonts w:ascii="Arial" w:hAnsi="Arial" w:eastAsia="Arial" w:cs="Arial"/>
          <w:b/>
          <w:bCs/>
          <w:color w:val="000000"/>
          <w:sz w:val="20"/>
          <w:szCs w:val="20"/>
        </w:rPr>
        <w:t xml:space="preserve">Zuständige Behörde (Beispiel):</w:t>
      </w:r>
      <w:r>
        <w:rPr>
          <w:rFonts w:ascii="Arial" w:hAnsi="Arial" w:eastAsia="Arial" w:cs="Arial"/>
          <w:color w:val="000000"/>
          <w:sz w:val="20"/>
          <w:szCs w:val="20"/>
        </w:rPr>
        <w:t xml:space="preserve"> Weiters wird im
folgenden Beispiel davon ausgegangen, dass das anzuwendende
</w:t>
      </w:r>
      <w:r>
        <w:rPr>
          <w:rFonts w:ascii="Arial" w:hAnsi="Arial" w:eastAsia="Arial" w:cs="Arial"/>
          <w:b/>
          <w:bCs/>
          <w:color w:val="000000"/>
          <w:sz w:val="20"/>
          <w:szCs w:val="20"/>
        </w:rPr>
        <w:t xml:space="preserve">Landesrecht</w:t>
      </w:r>
      <w:r>
        <w:rPr>
          <w:rFonts w:ascii="Arial" w:hAnsi="Arial" w:eastAsia="Arial" w:cs="Arial"/>
          <w:color w:val="000000"/>
          <w:sz w:val="20"/>
          <w:szCs w:val="20"/>
        </w:rPr>
        <w:t xml:space="preserve"> (Gemeindeordnung,
Abgabenverfahrensgesetz, Materienrecht, …) eine Zuständigkeit des
Bürgermeisters für die Gewährung der beantragten
Zahlungserleichterung vorsieht: Achtung – die Abgrenzung der für
die Entscheidung zuständigen Abgabenbehörde kann länderweise
verschieden sein und zB von der beantragten
Zahlungserleichterungsdauer oder von der Höhe der in Rede stehenden
Abgabenschuld abhängen.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Stadt-/Markt-/Gemeinde …</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Name des Empfängers</w:t>
      </w:r>
      <w:r>
        <w:rPr>
          <w:rFonts w:ascii="Arial" w:hAnsi="Arial" w:eastAsia="Arial" w:cs="Arial"/>
          <w:color w:val="000000"/>
          <w:sz w:val="20"/>
          <w:szCs w:val="20"/>
        </w:rPr>
        <w:br/>
        <w:t xml:space="preserve">(Abgabepflichtiger bzw Vertreter des Steuerpflichtigen, welche eine
Zustellvollmacht innehat)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GZ: …</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Bewilligung Ihres Zahlungserleichterungsansuchens vom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Bescheid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Spruch</w:t>
      </w:r>
    </w:p>
    <w:p>
      <w:pPr>
        <w:widowControl w:val="on"/>
        <w:pBdr/>
        <w:spacing w:before="140" w:after="240" w:line="288" w:lineRule="auto"/>
        <w:ind w:left="0" w:right="0"/>
        <w:jc w:val="left"/>
      </w:pPr>
      <w:r>
        <w:rPr>
          <w:rFonts w:ascii="Arial" w:hAnsi="Arial" w:eastAsia="Arial" w:cs="Arial"/>
          <w:color w:val="000000"/>
          <w:sz w:val="20"/>
          <w:szCs w:val="20"/>
        </w:rPr>
        <w:t xml:space="preserve">Gem § … Gemeindeordnung 1967, LGBl … idgF [Anführung
der jeweiligen landesrechtlichen Grundlage, welche die
Zuständigkeit der jeweiligen Behörde – im Beispiel des
Bürgermeisters – zur Entscheidung über das konkrete
Zahlungserleichterungsansuchen begründet], iVm § 212
Bundesabgabenordnung, BGBl 194/1961 in der geltenden Fassung
(BAO), wird das am … eingelangte mit … datierte
Zahlungserleichterungsansuchen des Herrn/der Frau …/der … GmbH,
vertreten durch …, hinsichtlich der Entrichtung der …abgabe für den
Zeitraum … iHv EUR … durch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Stundung der Abgabe</w:t>
      </w:r>
    </w:p>
    <w:p>
      <w:pPr>
        <w:widowControl w:val="on"/>
        <w:pBdr/>
        <w:spacing w:before="140" w:after="240" w:line="288" w:lineRule="auto"/>
        <w:ind w:left="0" w:right="0"/>
        <w:jc w:val="left"/>
      </w:pPr>
      <w:r>
        <w:rPr>
          <w:rFonts w:ascii="Arial" w:hAnsi="Arial" w:eastAsia="Arial" w:cs="Arial"/>
          <w:color w:val="277DB9"/>
          <w:sz w:val="20"/>
          <w:szCs w:val="20"/>
        </w:rPr>
        <w:t xml:space="preserve">Zahlungsaufschub (das heißt durch Gewährung einer Zahlungsfrist
für die erwähnte Abgabe, somit einer Stundung der Abgabe) längstens
bis zum … bewilligt.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Bewilligung der Ratenzahlung</w:t>
      </w:r>
    </w:p>
    <w:p>
      <w:pPr>
        <w:widowControl w:val="on"/>
        <w:pBdr/>
        <w:spacing w:before="140" w:after="240" w:line="288" w:lineRule="auto"/>
        <w:ind w:left="0" w:right="0"/>
        <w:jc w:val="left"/>
      </w:pPr>
      <w:r>
        <w:rPr>
          <w:rFonts w:ascii="Arial" w:hAnsi="Arial" w:eastAsia="Arial" w:cs="Arial"/>
          <w:color w:val="277DB9"/>
          <w:sz w:val="20"/>
          <w:szCs w:val="20"/>
        </w:rPr>
        <w:t xml:space="preserve">die Einräumung der Möglichkeit der Entrichtung der Abgabe in
Raten nach folgendem Zahlungsplan bewilligt: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Rate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fällig am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Betrag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Rückstand: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vorbeschriebene Gewährung der Zahlungserleichterung ist an
folgende auflösende Bedingung/en geknüpft:</w:t>
      </w:r>
    </w:p>
    <w:p>
      <w:pPr>
        <w:numPr>
          <w:ilvl w:val="0"/>
          <w:numId w:val="3239955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numPr>
          <w:ilvl w:val="0"/>
          <w:numId w:val="3239955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numPr>
          <w:ilvl w:val="0"/>
          <w:numId w:val="3239955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Begründung</w:t>
      </w:r>
    </w:p>
    <w:p>
      <w:pPr>
        <w:widowControl w:val="on"/>
        <w:pBdr/>
        <w:spacing w:before="140" w:after="240" w:line="288" w:lineRule="auto"/>
        <w:ind w:left="0" w:right="0"/>
        <w:jc w:val="left"/>
      </w:pPr>
      <w:r>
        <w:rPr>
          <w:rFonts w:ascii="Arial" w:hAnsi="Arial" w:eastAsia="Arial" w:cs="Arial"/>
          <w:color w:val="000000"/>
          <w:sz w:val="20"/>
          <w:szCs w:val="20"/>
        </w:rPr>
        <w:t xml:space="preserve">Sie haben das im Spruch dieses Bescheides erwähnte
Zahlungserleichterungsansuchen eingebracht und sinngemäß wie folgt
begründet: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Nachdem Ihr Zahlungserleichterungsansuchen für (eine) im eigenen
Wirkungsbereich der Gemeinde zu verwaltende Gemeindeabgabe(n) die
Gewährung einer Zahlungserleichterung (Stundung oder Ratenzahlung)
… [Beschreibung des Zahlungserleichterungsansuchens hinsichtlich
Betrag und beantragter Zahlungserleichterungsdauer] zum Inhalt
hatte, ist gem § … Gemeindeordnung, LGBl … idgF
[Anführung der jeweiligen landesrechtlichen Grundlage, welche die
Zuständigkeit der hier entscheidenden Behörde begründet], der
Bürgermeister [Beispiel; Anpassung der entscheidenden Behörde hier
und in der Fertigungsklausel entsprechend der jeweiligen
landesrechtlichen Regelung] zur Entscheidung über Ihr
Zahlungserleichterungsansuchen zuständig und wurde Folgendes
erwogen:</w:t>
      </w:r>
    </w:p>
    <w:p>
      <w:pPr>
        <w:widowControl w:val="on"/>
        <w:pBdr/>
        <w:spacing w:before="140" w:after="240" w:line="288" w:lineRule="auto"/>
        <w:ind w:left="0" w:right="0"/>
        <w:jc w:val="left"/>
      </w:pPr>
      <w:r>
        <w:rPr>
          <w:rFonts w:ascii="Arial" w:hAnsi="Arial" w:eastAsia="Arial" w:cs="Arial"/>
          <w:color w:val="000000"/>
          <w:sz w:val="20"/>
          <w:szCs w:val="20"/>
        </w:rPr>
        <w:t xml:space="preserve">Gem § 212 Abs 1 BAO kann die Abgabenbehörde auf
Ansuchen des Abgabepflichtigen für Abgaben, hinsichtlich derer ihm
gegenüber aufgrund eines Rückstandsausweises (§ 229 BAO)
Einbringungsmaßnahmen für den Fall des bereits erfolgten oder
späteren Eintrittes aller Voraussetzungen hiezu in Betracht kommen,
den Zeitpunkt der Entrichtung der Abgaben hinausschieben (Stundung)
oder die Entrichtung in Raten bewilligen, wenn die sofortige oder
die sofortige volle Entrichtung der Abgaben für den
Abgabepflichtigen mit erheblichen Härten verbunden wäre und die
Einbringlichkeit der Abgaben durch den Aufschub nicht gefährdet
wird, wobei eine ungefährdete Einbringlichkeit anzunehmen ist, wenn
der Abgabepflichtige glaubhaft macht, dass er durch die Gewährung
der Zahlungserleichterung in die Lage versetzt wird, die vom
Zahlungserleichterungsansuchen umfassten Abgabenschuldigkeiten
innerhalb einer angemessenen Frist entrichten zu können. Bezogen
auf die begründenden Ausführungen Ihres
Zahlungserleichterungsansuchens hat nun die entscheidende Behörde
Folgendes erwogen: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0" w:after="105" w:line="288" w:lineRule="auto"/>
        <w:ind w:left="0" w:right="0"/>
        <w:jc w:val="left"/>
      </w:pPr>
      <w:r>
        <w:rPr>
          <w:rFonts w:ascii="Arial" w:hAnsi="Arial" w:eastAsia="Arial" w:cs="Arial"/>
          <w:b/>
          <w:bCs/>
          <w:color w:val="277DB9"/>
          <w:sz w:val="25"/>
          <w:szCs w:val="25"/>
        </w:rPr>
        <w:t xml:space="preserve">Variante1: Bei antragsgemäßer Bewilligung der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Nach Ansicht der entscheidenden Behörde liegen damit im
gegenständlichen Fall Umstände vor, welche eine positive
Entscheidung iSd § 212 BAO zulassen, da in der Begründung
Ihres Ansuchens einwandfrei und unter Ausschluss jedes Zweifels
dargestellt wurde, dass die sofortige oder volle Entrichtung der
Abgaben mit erheblichen Härten verbunden wäre und dass die
Einbringlichkeit der Abgaben durch den Aufschub nicht gefährdet
wird, nachdem glaubhaft gemacht wurde, dass der Abgabepflichtige
durch die Gewährung der Zahlungserleichterung in die Lage versetzt
wird, die vom Zahlungserleichterungsansuchen umfassten
Abgabenschuldigkeiten innerhalb der beantragten und als angemessen
zu betrachtenden Zahlungserleichterungsfrist tatsächlich entrichten
zu können.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Bei vom Antrag abweichender (kürzerer)
Zahlungserleichterungsdauer (bis 12 Monate)</w:t>
      </w:r>
    </w:p>
    <w:p>
      <w:pPr>
        <w:widowControl w:val="on"/>
        <w:pBdr/>
        <w:spacing w:before="140" w:after="240" w:line="288" w:lineRule="auto"/>
        <w:ind w:left="0" w:right="0"/>
        <w:jc w:val="left"/>
      </w:pPr>
      <w:r>
        <w:rPr>
          <w:rFonts w:ascii="Arial" w:hAnsi="Arial" w:eastAsia="Arial" w:cs="Arial"/>
          <w:color w:val="277DB9"/>
          <w:sz w:val="20"/>
          <w:szCs w:val="20"/>
        </w:rPr>
        <w:t xml:space="preserve">Nach Ansicht der entscheidenden Behörde liegen damit im
gegenständlichen Fall Umstände vor, welche grundsätzlich eine
positive Entscheidung iSd § 212 BAO zulassen, da in der
Begründung Ihres Ansuchens einwandfrei und unter Ausschluss jedes
Zweifels dargestellt wurde, dass die sofortige oder volle
Entrichtung der Abgaben mit erheblichen Härten verbunden wäre. Nach
ständiger Rechtsprechung kommt jedoch auch der ungefährdeten
Einbringlichkeit einer Abgabe als Voraussetzung für die Gewährung
einer Zahlungserleichterung große Bedeutung zu. Insbesondere seit
der Fassung BGBl I 110/2023 des maßgeblichen § 212
Abs 1 BAO, wird – wie aus den Erläuterungen zur
Regierungsvorlage anlässlich dieser BAO-Novellierung hervorgeht –
somit seit 01.01.2024 verstärkt klargestellt, dass
Zahlungserleichterungen nur vorübergehend bestehende
Liquiditätsengpässe beseitigen sollen, wobei der eine begünstigende
Norm in Anspruch nehmende Abgabepflichtige erhöht
mitwirkungspflichtig ist und auch die Nichtgefährdung der
Einbringlichkeit der Abgaben als Voraussetzung für die Gewährung
einer Zahlungserleichterung aus eigenem Antrieb überzeugend
darzulegen und glaubhaft zu machen hat (ErlRV 2086 BlgNR XXVII. GP
46). Zur bewilligten und vom Antrag abweichenden
Zahlungserleichterungsdauer hat die entscheidende Abgabenbehörde
nun folgende Überlegungen angestellt: Von einer ungefährdeten
Einbringlichkeit kann – so die oa Erläuterungen weiter – nämlich
dann ausgegangen werden, </w:t>
      </w:r>
      <w:r>
        <w:rPr>
          <w:rFonts w:ascii="Arial" w:hAnsi="Arial" w:eastAsia="Arial" w:cs="Arial"/>
          <w:i/>
          <w:iCs/>
          <w:color w:val="277DB9"/>
          <w:sz w:val="20"/>
          <w:szCs w:val="20"/>
        </w:rPr>
        <w:t xml:space="preserve">„wenn der Abgabepflichtige glaubhaft
macht, dass er durch die Gewährung der Zahlungserleichterung in die
Lage versetzt wird, die von der Stundung oder Ratenzahlung
umfassten Abgabenschuldigkeiten während eines angemessenen
Zeitraums entrichten zu können. Die Angemessenheit des Zeitraumes,
sohin der durch die Behörde zugebilligten Frist, orientiert sich an
der Überbrückung des vorübergehenden Liquiditätsengpasses und
findet ihre Grenze somit in der Gefährdung der Einbringlichkeit.
Daraus ergibt sich auch, dass die Dauer einer Zahlungserleichterung
nicht alleine an der wirtschaftlichen Lage des Unternehmens zum
Zeitpunkt der Antragstellung zu bemessen ist. Eine
Zahlungserleichterung kann demnach gewährt werden, wenn das
Vorbringen des Abgabepflichtigen den Schluss zu tragen vermag, dass
er durch die Gewährung der beantragten Zahlungserleichterung zu
einer fristgerechten Zahlungsweise zurückfinden wird können und sie
somit auch geeignet ist, eine drohende finanzielle Notlage
abzuwenden. ... Ein angemessener Zeitraum wird in der Regel die
folgenden 12 Monate umfassen. Durch einen 12-Monatszeitraum sollen
Unsicherheiten der Prognose minimiert und dem Umstand Rechnung
getragen werden, dass die Zahlungserleichterung der Überbrückung
kurzfristiger Liquiditätsengpässe dient.“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 Bei (vom Antrag abweichender, kürzerer) für bis zu
12 Monate bewilligter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Aus den vorstehenden Überlegungen ergibt sich, dass
grundsätzlich mit einer Zahlungserleichterungsdauer von (etwa)
zwölf Monaten das Auslangen gefunden werden können sollte, außer
besondere Umstände (wie etwa eine zeitlich längere Bankgarantie
zugunsten der Abgabenbehörde oä), welche die Annahme einer
ungefährdeten Einbringlichkeit über einen längeren Zeitraum hinweg
rechtfertigen würden, würden ausnahmsweise eine darüber
hinausgehende Zahlungserleichterungsdauer zulassen – jedoch wurden
derartige besondere Umstände nicht nachgewiesen oder glaubhaft
gemacht. Insoweit zu einem späteren Zeitpunkt eine über die
bewilligte Zahlungserleichterungsdauer hinausgehende ungefährdete
Einbringlichkeit der Abgabe(n) nachgewiesen werden kann, steht dies
einem neuerlichen Zahlungserleichterungsansuchen nicht im Wege.</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4: Bei für mehr als 12 Monate bewilligter (aber immer
noch vom Antrag abweichender, kürzerer)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Aus den vorstehenden Überlegungen ergibt sich, dass zwar
grundsätzlich mit einer Zahlungserleichterungsdauer von (etwa)
zwölf Monaten das Auslangen gefunden werden können sollte, jedoch
kann dieser vorerwähnte „angemessene Zeitraum“ – abhängig von den
Umständen des Einzelfalles – bei besonderen Umständen wie etwa beim
Vorliegen einer überzeugenden Sicherheit (beispielsweise beim
Vorliegen einer zeitlich längeren Bankgarantie zugunsten der
Abgabenbehörde) ausnahmsweise auch zwölf Monate übersteigen. Im
konkreten Fall erblickt die zur Entscheidung zuständige
Abgabenbehörde in der nachgewiesenen/argumentierten … [Anm: kurz
beschreibende Darstellung der vorgelegten bzw dargestellten
Sicherheit] einen ausreichenden Nachweis dahingehend, dass die
Einbringlichkeit der von der Zahlungserleichterung betroffenen
Abgabe(n) während der im Spruch dieses Bescheides bewilligten
Zahlungserleichterungsdauer ungefährdet scheint. Insoweit zu einem
späteren Zeitpunkt eine über die bewilligte
Zahlungserleichterungsdauer hinausgehende ungefährdete
Einbringlichkeit der Abgabe(n) nachgewiesen werden kann, steht dies
einem neuerlichen Zahlungserleichterungsansuchen nicht im Wege.</w:t>
      </w:r>
    </w:p>
    <w:p>
      <w:pPr>
        <w:widowControl w:val="on"/>
        <w:pBdr/>
        <w:spacing w:before="140" w:after="240" w:line="288" w:lineRule="auto"/>
        <w:ind w:left="0" w:right="0"/>
        <w:jc w:val="left"/>
      </w:pPr>
      <w:r>
        <w:rPr>
          <w:rFonts w:ascii="Arial" w:hAnsi="Arial" w:eastAsia="Arial" w:cs="Arial"/>
          <w:color w:val="000000"/>
          <w:sz w:val="20"/>
          <w:szCs w:val="20"/>
        </w:rPr>
        <w:t xml:space="preserve">Zusammenfassend waren daher die Voraussetzungen zur beantragten
Bewilligung der Zahlungserleichterung gem § 212 BAO gegeben,
sodass spruchgemäß entschieden werden konnte.</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numPr>
          <w:ilvl w:val="0"/>
          <w:numId w:val="96265592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Hinsichtlich anderer abgabenrechtlicher Verpflichtungen, welche
von dieser Zahlungserleichterung nicht betroffen sind, tritt keine
Änderung ein.</w:t>
      </w:r>
    </w:p>
    <w:p>
      <w:pPr>
        <w:numPr>
          <w:ilvl w:val="0"/>
          <w:numId w:val="96265592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Für die Inanspruchnahme einer Zahlungserleichterung von mehr
als EUR 200,– fallen (zwingend) Stundungszinsen in Höhe von
6 % pro Jahr an (§ 212b Z 1 BAO), welche (ab einem
Mindestbetrag von EUR 10,–) nach Ablauf der
Zahlungserleichterung (bzw innerhalb der
Bemessungsverjährungsfrist) gesondert bescheidmäßig festgesetzt
werden müssen.</w:t>
      </w:r>
    </w:p>
    <w:p>
      <w:pPr>
        <w:numPr>
          <w:ilvl w:val="0"/>
          <w:numId w:val="96265592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bewilligte Zahlungserleichterung erlischt und wird
gegenstandslos, wenn entweder ein Zahlungstermin nicht eingehalten
wird (Terminverlust iSd § 212 Abs 2 BAO) oder wenn eine
allenfalls im Spruch dieses Bewilligungsbescheides genannte
Bedingung nicht erfüllt wird (Terminverlust iSd § 230
Abs 5 BAO). Diesfalls sind entweder sofort oder binnen zwei
Wochen zwangsweise Einbringungsmaßnahmen hinsichtlich der gesamten
vom Terminverlust betroffenen Abgabenschuld zulässig und endet der
für die Stundungszinsenberechnung maßgebende Zeitraum durch
Ausstellung eines Rückstandsausweises (§ 212 Abs 2
dritter Satz BAO).</w:t>
      </w:r>
    </w:p>
    <w:p>
      <w:pPr>
        <w:numPr>
          <w:ilvl w:val="0"/>
          <w:numId w:val="96265592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Kommen während der Ihnen zustehenden Zahlungsfrist Umstände
hervor, welche die Einbringung der Abgabe gefährden oder zu
erschweren drohen, tritt die gewährte Zahlungserleichterung mit der
Zustellung eines Vollstreckungsbescheides iSd § 230 Abs 7
BAO außer Kraft.</w:t>
      </w:r>
    </w:p>
    <w:p>
      <w:pPr>
        <w:numPr>
          <w:ilvl w:val="0"/>
          <w:numId w:val="96265592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bewilligte Zahlungserleichterung kann zusätzlich unter den
im § 294 BAO genannten Bedingungen (Änderung der tatsächlichen
Verhältnisse, unrichtige oder irreführende Angaben) bescheidmäßig
abgeändert oder (ganz oder teilweise) zurückgenommen (widerrufen)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Rechtsmittelbelehrung</w:t>
      </w:r>
    </w:p>
    <w:p>
      <w:pPr>
        <w:numPr>
          <w:ilvl w:val="0"/>
          <w:numId w:val="8650636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Mustertext und Anmerkungen siehe Reg 7 Kap 3.1.1,
Dokument-ID: 761368 (Recht zur Einbringung einer Berufung an die
Abgabenbehörde zweiter Instanz).</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50636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26559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399552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2034003">
    <w:multiLevelType w:val="hybridMultilevel"/>
    <w:lvl w:ilvl="0" w:tplc="92204715">
      <w:start w:val="1"/>
      <w:numFmt w:val="decimal"/>
      <w:lvlText w:val="%1."/>
      <w:lvlJc w:val="left"/>
      <w:pPr>
        <w:ind w:left="720" w:hanging="360"/>
      </w:pPr>
    </w:lvl>
    <w:lvl w:ilvl="1" w:tplc="92204715" w:tentative="1">
      <w:start w:val="1"/>
      <w:numFmt w:val="lowerLetter"/>
      <w:lvlText w:val="%2."/>
      <w:lvlJc w:val="left"/>
      <w:pPr>
        <w:ind w:left="1440" w:hanging="360"/>
      </w:pPr>
    </w:lvl>
    <w:lvl w:ilvl="2" w:tplc="92204715" w:tentative="1">
      <w:start w:val="1"/>
      <w:numFmt w:val="lowerRoman"/>
      <w:lvlText w:val="%3."/>
      <w:lvlJc w:val="right"/>
      <w:pPr>
        <w:ind w:left="2160" w:hanging="180"/>
      </w:pPr>
    </w:lvl>
    <w:lvl w:ilvl="3" w:tplc="92204715" w:tentative="1">
      <w:start w:val="1"/>
      <w:numFmt w:val="decimal"/>
      <w:lvlText w:val="%4."/>
      <w:lvlJc w:val="left"/>
      <w:pPr>
        <w:ind w:left="2880" w:hanging="360"/>
      </w:pPr>
    </w:lvl>
    <w:lvl w:ilvl="4" w:tplc="92204715" w:tentative="1">
      <w:start w:val="1"/>
      <w:numFmt w:val="lowerLetter"/>
      <w:lvlText w:val="%5."/>
      <w:lvlJc w:val="left"/>
      <w:pPr>
        <w:ind w:left="3600" w:hanging="360"/>
      </w:pPr>
    </w:lvl>
    <w:lvl w:ilvl="5" w:tplc="92204715" w:tentative="1">
      <w:start w:val="1"/>
      <w:numFmt w:val="lowerRoman"/>
      <w:lvlText w:val="%6."/>
      <w:lvlJc w:val="right"/>
      <w:pPr>
        <w:ind w:left="4320" w:hanging="180"/>
      </w:pPr>
    </w:lvl>
    <w:lvl w:ilvl="6" w:tplc="92204715" w:tentative="1">
      <w:start w:val="1"/>
      <w:numFmt w:val="decimal"/>
      <w:lvlText w:val="%7."/>
      <w:lvlJc w:val="left"/>
      <w:pPr>
        <w:ind w:left="5040" w:hanging="360"/>
      </w:pPr>
    </w:lvl>
    <w:lvl w:ilvl="7" w:tplc="92204715" w:tentative="1">
      <w:start w:val="1"/>
      <w:numFmt w:val="lowerLetter"/>
      <w:lvlText w:val="%8."/>
      <w:lvlJc w:val="left"/>
      <w:pPr>
        <w:ind w:left="5760" w:hanging="360"/>
      </w:pPr>
    </w:lvl>
    <w:lvl w:ilvl="8" w:tplc="92204715" w:tentative="1">
      <w:start w:val="1"/>
      <w:numFmt w:val="lowerRoman"/>
      <w:lvlText w:val="%9."/>
      <w:lvlJc w:val="right"/>
      <w:pPr>
        <w:ind w:left="6480" w:hanging="180"/>
      </w:pPr>
    </w:lvl>
  </w:abstractNum>
  <w:abstractNum w:abstractNumId="7795702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768447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2034002">
    <w:multiLevelType w:val="hybridMultilevel"/>
    <w:lvl w:ilvl="0" w:tplc="92762449">
      <w:start w:val="1"/>
      <w:numFmt w:val="decimal"/>
      <w:lvlText w:val="%1."/>
      <w:lvlJc w:val="left"/>
      <w:pPr>
        <w:ind w:left="720" w:hanging="360"/>
      </w:pPr>
    </w:lvl>
    <w:lvl w:ilvl="1" w:tplc="92762449" w:tentative="1">
      <w:start w:val="1"/>
      <w:numFmt w:val="lowerLetter"/>
      <w:lvlText w:val="%2."/>
      <w:lvlJc w:val="left"/>
      <w:pPr>
        <w:ind w:left="1440" w:hanging="360"/>
      </w:pPr>
    </w:lvl>
    <w:lvl w:ilvl="2" w:tplc="92762449" w:tentative="1">
      <w:start w:val="1"/>
      <w:numFmt w:val="lowerRoman"/>
      <w:lvlText w:val="%3."/>
      <w:lvlJc w:val="right"/>
      <w:pPr>
        <w:ind w:left="2160" w:hanging="180"/>
      </w:pPr>
    </w:lvl>
    <w:lvl w:ilvl="3" w:tplc="92762449" w:tentative="1">
      <w:start w:val="1"/>
      <w:numFmt w:val="decimal"/>
      <w:lvlText w:val="%4."/>
      <w:lvlJc w:val="left"/>
      <w:pPr>
        <w:ind w:left="2880" w:hanging="360"/>
      </w:pPr>
    </w:lvl>
    <w:lvl w:ilvl="4" w:tplc="92762449" w:tentative="1">
      <w:start w:val="1"/>
      <w:numFmt w:val="lowerLetter"/>
      <w:lvlText w:val="%5."/>
      <w:lvlJc w:val="left"/>
      <w:pPr>
        <w:ind w:left="3600" w:hanging="360"/>
      </w:pPr>
    </w:lvl>
    <w:lvl w:ilvl="5" w:tplc="92762449" w:tentative="1">
      <w:start w:val="1"/>
      <w:numFmt w:val="lowerRoman"/>
      <w:lvlText w:val="%6."/>
      <w:lvlJc w:val="right"/>
      <w:pPr>
        <w:ind w:left="4320" w:hanging="180"/>
      </w:pPr>
    </w:lvl>
    <w:lvl w:ilvl="6" w:tplc="92762449" w:tentative="1">
      <w:start w:val="1"/>
      <w:numFmt w:val="decimal"/>
      <w:lvlText w:val="%7."/>
      <w:lvlJc w:val="left"/>
      <w:pPr>
        <w:ind w:left="5040" w:hanging="360"/>
      </w:pPr>
    </w:lvl>
    <w:lvl w:ilvl="7" w:tplc="92762449" w:tentative="1">
      <w:start w:val="1"/>
      <w:numFmt w:val="lowerLetter"/>
      <w:lvlText w:val="%8."/>
      <w:lvlJc w:val="left"/>
      <w:pPr>
        <w:ind w:left="5760" w:hanging="360"/>
      </w:pPr>
    </w:lvl>
    <w:lvl w:ilvl="8" w:tplc="92762449" w:tentative="1">
      <w:start w:val="1"/>
      <w:numFmt w:val="lowerRoman"/>
      <w:lvlText w:val="%9."/>
      <w:lvlJc w:val="right"/>
      <w:pPr>
        <w:ind w:left="6480" w:hanging="180"/>
      </w:pPr>
    </w:lvl>
  </w:abstractNum>
  <w:abstractNum w:abstractNumId="52034001">
    <w:multiLevelType w:val="hybridMultilevel"/>
    <w:lvl w:ilvl="0" w:tplc="241781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034001">
    <w:abstractNumId w:val="52034001"/>
  </w:num>
  <w:num w:numId="52034002">
    <w:abstractNumId w:val="52034002"/>
  </w:num>
  <w:num w:numId="737684476">
    <w:abstractNumId w:val="737684476"/>
  </w:num>
  <w:num w:numId="779570271">
    <w:abstractNumId w:val="779570271"/>
  </w:num>
  <w:num w:numId="52034003">
    <w:abstractNumId w:val="52034003"/>
  </w:num>
  <w:num w:numId="323995527">
    <w:abstractNumId w:val="323995527"/>
  </w:num>
  <w:num w:numId="962655925">
    <w:abstractNumId w:val="962655925"/>
  </w:num>
  <w:num w:numId="865063659">
    <w:abstractNumId w:val="8650636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29757896" Type="http://schemas.openxmlformats.org/officeDocument/2006/relationships/numbering" Target="numbering.xml"/><Relationship Id="rId49629197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