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3151131" w:name="document"/>
    <w:bookmarkEnd w:id="33151131"/>
    <w:p/>
    <w:p>
      <w:pPr>
        <w:widowControl w:val="on"/>
        <w:pBdr/>
        <w:spacing w:before="0" w:after="280" w:line="240" w:lineRule="auto"/>
        <w:ind w:left="0" w:right="0"/>
        <w:jc w:val="left"/>
      </w:pPr>
      <w:r>
        <w:rPr>
          <w:rFonts w:ascii="Arial" w:hAnsi="Arial" w:eastAsia="Arial" w:cs="Arial"/>
          <w:color w:val="363A40"/>
          <w:sz w:val="24"/>
          <w:szCs w:val="24"/>
        </w:rPr>
        <w:t xml:space="preserve">Dokument-ID: 762038 | Robert Koch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Aufhebung eines erstinstanzlichen Bescheides gem § 299 BAO im
eigenen Wirkungsbereich der Gemeinde</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Anwendungsbeispiel: Während des Insolvenzverfahrens ergibt sich
eine von Amts wegen (nun durch Aufhebung und neuen Sachbescheid)
der Höhe nach abzuändernde Festsetzung der Kommunalsteuer (KommSt),
weswegen nun in einen seitens der Abgabenbehörde erster Instanz
erlassenen Bescheid eingegriffen werden soll.</w:t>
      </w:r>
    </w:p>
    <w:p>
      <w:pPr>
        <w:widowControl w:val="on"/>
        <w:pBdr/>
        <w:spacing w:before="140" w:after="240" w:line="288" w:lineRule="auto"/>
        <w:ind w:left="0" w:right="0"/>
        <w:jc w:val="left"/>
      </w:pPr>
      <w:r>
        <w:rPr>
          <w:rFonts w:ascii="Arial" w:hAnsi="Arial" w:eastAsia="Arial" w:cs="Arial"/>
          <w:color w:val="000000"/>
          <w:sz w:val="20"/>
          <w:szCs w:val="20"/>
        </w:rPr>
        <w:t xml:space="preserve">Es werden Varianten für die Ausgangssituationen dargestellt, wo
der „abzuändernde“ Bescheid entweder noch an den Abgabepflichtigen
selbst oder (bereits nach Eröffnung des Insolvenzverfahrens) an den
Insolvenzverwalter erging.</w:t>
      </w:r>
    </w:p>
    <w:p>
      <w:pPr>
        <w:widowControl w:val="on"/>
        <w:pBdr/>
        <w:spacing w:before="140" w:after="240" w:line="288" w:lineRule="auto"/>
        <w:ind w:left="0" w:right="0"/>
        <w:jc w:val="left"/>
      </w:pPr>
      <w:r>
        <w:rPr>
          <w:rFonts w:ascii="Arial" w:hAnsi="Arial" w:eastAsia="Arial" w:cs="Arial"/>
          <w:color w:val="000000"/>
          <w:sz w:val="20"/>
          <w:szCs w:val="20"/>
        </w:rPr>
        <w:t xml:space="preserve">Weiterführende Hinweise zur zeitlich eingeschränkten
Anwendbarkeit einer auf § 299 BAO gestützten Aufhebung finden
Sie in den Anmerkungen zum Muster.</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Stadt-/Markt-/Gemeinde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Empfängers, das ist</w:t>
      </w:r>
      <w:r>
        <w:rPr>
          <w:rFonts w:ascii="Arial" w:hAnsi="Arial" w:eastAsia="Arial" w:cs="Arial"/>
          <w:color w:val="000000"/>
          <w:sz w:val="20"/>
          <w:szCs w:val="20"/>
        </w:rPr>
        <w:br/>
        <w:t xml:space="preserve">während des noch nicht abgeschlossenen</w:t>
      </w:r>
      <w:r>
        <w:rPr>
          <w:rFonts w:ascii="Arial" w:hAnsi="Arial" w:eastAsia="Arial" w:cs="Arial"/>
          <w:color w:val="000000"/>
          <w:sz w:val="20"/>
          <w:szCs w:val="20"/>
        </w:rPr>
        <w:br/>
        <w:t xml:space="preserve">Insolvenzverfahrens der Insolvenzverwalter</w:t>
      </w:r>
      <w:r>
        <w:rPr>
          <w:rFonts w:ascii="Arial" w:hAnsi="Arial" w:eastAsia="Arial" w:cs="Arial"/>
          <w:color w:val="000000"/>
          <w:sz w:val="20"/>
          <w:szCs w:val="20"/>
        </w:rPr>
        <w:br/>
        <w:t xml:space="preserve">bzw der Sanierungsverwalter]</w:t>
      </w:r>
    </w:p>
    <w:p>
      <w:pPr>
        <w:widowControl w:val="on"/>
        <w:pBdr/>
        <w:spacing w:before="140" w:after="240" w:line="288" w:lineRule="auto"/>
        <w:ind w:left="0" w:right="0"/>
        <w:jc w:val="left"/>
      </w:pPr>
      <w:r>
        <w:rPr>
          <w:rFonts w:ascii="Arial" w:hAnsi="Arial" w:eastAsia="Arial" w:cs="Arial"/>
          <w:color w:val="000000"/>
          <w:sz w:val="20"/>
          <w:szCs w:val="20"/>
        </w:rPr>
        <w:t xml:space="preserve">GZ: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Aufhebung des Bescheides vom … und Neufestsetzung der
Kommunalsteuer … bis … nach durchgeführter PLB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Bescheid</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Spruch</w:t>
      </w:r>
    </w:p>
    <w:p>
      <w:pPr>
        <w:widowControl w:val="on"/>
        <w:pBdr/>
        <w:spacing w:before="140" w:after="240" w:line="288" w:lineRule="auto"/>
        <w:ind w:left="0" w:right="0"/>
        <w:jc w:val="left"/>
      </w:pPr>
      <w:r>
        <w:rPr>
          <w:rFonts w:ascii="Arial" w:hAnsi="Arial" w:eastAsia="Arial" w:cs="Arial"/>
          <w:color w:val="000000"/>
          <w:sz w:val="20"/>
          <w:szCs w:val="20"/>
        </w:rPr>
        <w:t xml:space="preserve">1. Der an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(zeitlich bedingt anwendbare) Variante, wonach der aufzuhebende
Bescheid nach Eröffnung des Insolvenzverfahrens bereits an den
Insolvenzverwalter bzw an den Sanierungsverwalter erging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Herrn/Frau (Rechtsanwalt/Notar/…) … [Name und Adresse des
Insolvenzverwalters bzw des Sanierungsverwalters], als vom
zuständigen Insolvenzgericht über das Vermögen des/der …
[Bezeichnung des Abgabepflichtigen, somit Name der natürlichen oder
juristischen Person samt Adresse des Abgabepflichtigen], bestellter
Insolvenzverwalter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(zeitlich bedingt anwendbare) Variante, wonach der aufzuhebende
Bescheid noch vor Eröffnung des Insolvenzverfahrens an den
Abgabepflichtigen selbst erging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Herrn/Frau … [Bezeichnung des Abgabepflichtigen, somit Name der
natürlichen oder juristischen Person samt Adresse des
Abgabepflichtigen], nun vertreten durch Herrn/Frau
(Rechtsanwalt/Notar/…) … [Name und Adresse des </w:t>
            </w:r>
            <w:r>
              <w:rPr>
                <w:rFonts w:ascii="Arial" w:hAnsi="Arial" w:eastAsia="Arial" w:cs="Arial"/>
                <w:color w:val="000000"/>
                <w:position w:val="0"/>
                <w:sz w:val="20"/>
                <w:szCs w:val="20"/>
                <w:shd w:val="clear" w:color="auto" w:fill="FFFFFF"/>
              </w:rPr>
              <w:t xml:space="preserve">Insolvenzverwalters]</w:t>
            </w:r>
            <w:bookmarkStart w:id="94695619" w:name="link1"/>
            <w:bookmarkEnd w:id="94695619"/>
            <w:hyperlink w:anchor="note1" w:history="1">
              <w:r>
                <w:rPr>
                  <w:rFonts w:ascii="Arial" w:hAnsi="Arial" w:eastAsia="Arial" w:cs="Arial"/>
                  <w:b/>
                  <w:bCs/>
                  <w:color w:val="006BB6"/>
                  <w:position w:val="4"/>
                  <w:sz w:val="22"/>
                  <w:szCs w:val="22"/>
                  <w:shd w:val="clear" w:color="auto" w:fill="FFFFFF"/>
                  <w:vertAlign w:val="superscript"/>
                </w:rPr>
                <w:t xml:space="preserve">1</w:t>
              </w:r>
            </w:hyperlink>
            <w:r>
              <w:rPr>
                <w:rFonts w:ascii="Arial" w:hAnsi="Arial" w:eastAsia="Arial" w:cs="Arial"/>
                <w:color w:val="000000"/>
                <w:position w:val="0"/>
                <w:sz w:val="20"/>
                <w:szCs w:val="20"/>
                <w:shd w:val="clear" w:color="auto" w:fill="FFFFFF"/>
              </w:rPr>
              <w:t xml:space="preserve"> als vom zuständigen
Insolvenzgericht bestellter Insolvenzverwalter</w:t>
            </w:r>
          </w:p>
        </w:tc>
      </w:tr>
    </w:tbl>
    <w:p>
      <w:pPr>
        <w:widowControl w:val="on"/>
        <w:pBdr/>
        <w:spacing w:before="140" w:after="240" w:line="288" w:lineRule="auto"/>
        <w:ind w:left="0" w:right="0"/>
        <w:jc w:val="left"/>
      </w:pPr>
      <w:r>
        <w:rPr>
          <w:rFonts w:ascii="Arial" w:hAnsi="Arial" w:eastAsia="Arial" w:cs="Arial"/>
          <w:color w:val="000000"/>
          <w:sz w:val="20"/>
          <w:szCs w:val="20"/>
        </w:rPr>
        <w:t xml:space="preserve">gerichtete, am … zugestellte erstinstanzliche Bescheid (GZ: …)
vom … [Festsetzung der Kommunalsteuer für den Zeitraum vom … bis …]
wird gem § 299 Abs 1 Bundesabgabenordnung – BAO,
BGBl 194/1961 in der geltenden Fassung, von Amts wegen
aufgehoben.</w:t>
      </w:r>
    </w:p>
    <w:p>
      <w:pPr>
        <w:widowControl w:val="on"/>
        <w:pBdr/>
        <w:spacing w:before="140" w:after="240" w:line="288" w:lineRule="auto"/>
        <w:ind w:left="0" w:right="0"/>
        <w:jc w:val="left"/>
      </w:pPr>
      <w:r>
        <w:rPr>
          <w:rFonts w:ascii="Arial" w:hAnsi="Arial" w:eastAsia="Arial" w:cs="Arial"/>
          <w:color w:val="000000"/>
          <w:sz w:val="20"/>
          <w:szCs w:val="20"/>
        </w:rPr>
        <w:t xml:space="preserve">2. Gem § 11 Abs 3 Kommunalsteuergesetz 1993,
BGBl 819/1993 in der geltenden Fassung (KommStG 1993) in
Verbindung mit § 201 Abs 1 und 2 BAO sowie in Verbindung
mit § 299 Abs 2 BAO, wird die von Herrn/Frau
(Rechtsanwalt/Notar/…) … [Name und Adresse des Insolvenzverwalters
bzw des Sanierungsverwalters], als vom zuständigen Insolvenzgericht
über das Vermögen des/der … [Bezeichnung des Abgabepflichtigen,
somit Name der natürlichen oder juristischen Person samt Adresse
des Abgabepflichtigen] bestellter
Insolvenzverwalter/Sanierungsverwalter, für den Zeitraum vom … bis
… zu entrichtende Kommunalsteuer für die nachstehend angeführten
Jahre wie in der Tabelle ersichtlich, jedoch insgesamt mit
EUR … festgesetzt, das sind 3 % von EUR … als
Bemessungsgrundlage gem § 5 KommStG 1993.</w:t>
      </w:r>
    </w:p>
    <w:p>
      <w:pPr>
        <w:widowControl w:val="on"/>
        <w:pBdr/>
        <w:spacing w:before="140" w:after="240" w:line="288" w:lineRule="auto"/>
        <w:ind w:left="0" w:right="0"/>
        <w:jc w:val="left"/>
      </w:pPr>
      <w:r>
        <w:rPr>
          <w:rFonts w:ascii="Arial" w:hAnsi="Arial" w:eastAsia="Arial" w:cs="Arial"/>
          <w:color w:val="000000"/>
          <w:sz w:val="20"/>
          <w:szCs w:val="20"/>
        </w:rPr>
        <w:t xml:space="preserve">Die Festsetzung der Kommunalsteuer stellt sich in den
angeführten Kalenderjahren (bzw Wirtschaftsjahren) wie folgt dar
bzw beruht auf folgenden Bemessungsgrundlagen: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265"/>
        <w:gridCol w:w="4095"/>
        <w:gridCol w:w="2055"/>
      </w:tblGrid>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(Teil-)Zeitraum</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Kommunalsteuerbemessungsgrundlage</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Davon 3 %</w:t>
            </w:r>
            <w:r>
              <w:rPr>
                <w:rFonts w:ascii="Arial" w:hAnsi="Arial" w:eastAsia="Arial" w:cs="Arial"/>
                <w:color w:val="000000"/>
                <w:position w:val="0"/>
                <w:sz w:val="20"/>
                <w:szCs w:val="20"/>
                <w:shd w:val="clear" w:color="auto" w:fill="FFFFFF"/>
              </w:rPr>
              <w:br/>
              <w:t xml:space="preserve">Kommunalsteuer</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 … bis 31.12.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 … bis 31.12.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Summen</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3. Auf den bescheidgegenständlichen Zeitraum wurden bisher
Kommunalsteuerzahlungen in Höhe von EUR … fristgerecht und
Kommunalsteuerzahlungen in Höhe von EUR … verspätet (somit
insgesamt Kommunalsteuerzahlungen in Höhe von EUR …)
geleistet.</w:t>
      </w:r>
    </w:p>
    <w:p>
      <w:pPr>
        <w:widowControl w:val="on"/>
        <w:pBdr/>
        <w:spacing w:before="140" w:after="240" w:line="288" w:lineRule="auto"/>
        <w:ind w:left="0" w:right="0"/>
        <w:jc w:val="left"/>
      </w:pPr>
      <w:r>
        <w:rPr>
          <w:rFonts w:ascii="Arial" w:hAnsi="Arial" w:eastAsia="Arial" w:cs="Arial"/>
          <w:color w:val="000000"/>
          <w:sz w:val="20"/>
          <w:szCs w:val="20"/>
        </w:rPr>
        <w:t xml:space="preserve">Zufolge der mit diesem Bescheid für obigen Zeitraum
vorgenommenen Abgabenfestsetzung ergibt sich im Vergleich zu den
bisher geleisteten Zahlungen ein Kommunalsteuerrückstand in Höhe
von EUR …, welcher längstens binnen einem Monat ab Zustellung
dieses Bescheides (Fälligkeitstag) bei sonstiger Exekution ohne
jegliche vorherige Mahnung zu entrichten ist; allenfalls bevorrangt
anwendbare abweichende insolvenzrechtliche Fälligkeitsbestimmungen
bleiben unberührt.</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Bei einem Abgabenrückstand und/oder nicht fristgerecht
geleisteten Zahlungen in Höhe von zumindest EUR 250,– (bezogen
auf ein Kalenderjahr bzw Wirtschaftsjahr) erfolgt – wie nachstehend
dargestellt ist – eine Festsetzung des Säumniszuschlages. Als
(Jahres-)Mindestbetrag für den Säumniszuschlag auf Landes- und
Gemeindeabgaben ergibt sich somit gem § 217a Z 3 BAO
ein Betrag von EUR 5,–.</w:t>
      </w:r>
    </w:p>
    <w:p>
      <w:pPr>
        <w:widowControl w:val="on"/>
        <w:pBdr/>
        <w:spacing w:before="140" w:after="240" w:line="288" w:lineRule="auto"/>
        <w:ind w:left="0" w:right="0"/>
        <w:jc w:val="left"/>
      </w:pPr>
      <w:r>
        <w:rPr>
          <w:rFonts w:ascii="Arial" w:hAnsi="Arial" w:eastAsia="Arial" w:cs="Arial"/>
          <w:color w:val="000000"/>
          <w:sz w:val="20"/>
          <w:szCs w:val="20"/>
        </w:rPr>
        <w:t xml:space="preserve">4. a) Die Kommunalsteuer in Höhe des vorerwähnten
Abgabenrückstandes in Höhe von EUR … wurde iSd § 11
Abs 2 erster Satz KommStG 1993 nicht fristgerecht entrichtet
und stellt daher die (iSd § 217a Z 3 BAO in den
nachfolgend angeführten Kalenderjahren (bzw Wirtschaftsjahren)
jeweils zumindest EUR 250,– erreichende) Bemessungsgrundlage
für den Säumniszuschlag gem § 217 Abs 1 und 2 BAO
dar.</w:t>
      </w:r>
    </w:p>
    <w:p>
      <w:pPr>
        <w:widowControl w:val="on"/>
        <w:pBdr/>
        <w:spacing w:before="140" w:after="240" w:line="288" w:lineRule="auto"/>
        <w:ind w:left="0" w:right="0"/>
        <w:jc w:val="left"/>
      </w:pPr>
      <w:r>
        <w:rPr>
          <w:rFonts w:ascii="Arial" w:hAnsi="Arial" w:eastAsia="Arial" w:cs="Arial"/>
          <w:color w:val="000000"/>
          <w:sz w:val="20"/>
          <w:szCs w:val="20"/>
        </w:rPr>
        <w:t xml:space="preserve">Die Festsetzung des Säumniszuschlages stellt sich in den
einzelnen Kalendermonaten wie folgt dar bzw beruht auf folgenden
Bemessungsgrundlagen: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265"/>
        <w:gridCol w:w="4095"/>
        <w:gridCol w:w="2055"/>
      </w:tblGrid>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(Teil-)Zeitraum (Kalendermonat)</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Bemessungsgrundlage für den
Säumniszuschlag</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Davon 2 %</w:t>
            </w:r>
            <w:r>
              <w:rPr>
                <w:rFonts w:ascii="Arial" w:hAnsi="Arial" w:eastAsia="Arial" w:cs="Arial"/>
                <w:color w:val="000000"/>
                <w:position w:val="0"/>
                <w:sz w:val="20"/>
                <w:szCs w:val="20"/>
                <w:shd w:val="clear" w:color="auto" w:fill="FFFFFF"/>
              </w:rPr>
              <w:br/>
              <w:t xml:space="preserve">Säumniszuschlag</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2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Summen</w:t>
            </w:r>
          </w:p>
        </w:tc>
        <w:tc>
          <w:tcPr>
            <w:tcW w:w="4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05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Während Selbstberechnungsabgaben – wie etwa die Kommunalsteuer –
zwar jahrweise „zusammengefasst“ festgesetzt werden dürfen, gilt
dies für Nebenansprüche nicht und müssen diese (zB der
Säumniszuschlag) daher monatlich – sozusagen „in eigenen
Bescheiden“ – festgesetzt werden. Es ist aber zulässig, mehrere
Bescheide (sofern diese jeweils für sich im Spruch des Bescheides
trennbar alle erforderlichen Merkmale aufweisen) in einem
Schriftstück zu kombinieren (kombinierter Bescheid,
Sammelbescheid). Wichtige grundlegende Informationen dazu finden
Sie in diesem Handbuch in Reg 4 Kap 4 (Dokument-ID 1121193),
während im Beitrag in Reg 7 Kap 3.9.4 (Dokument-ID 1103468) ua
detailliert hergeleitet wird, inwieweit Selbstberechnungsabgaben
unter welchen Bedingungen in zusammengefasster Festsetzung
bescheidmäßig festgesetzt werden dürfen und welche
Abgabenrückstände zur Bildung der Mindest-Bemessungsgrundlage des
Säumniszuschlages (Untergrenze des festzusetzenden
Säumniszuschlages bei Landes- und Gemeindeabgaben ist ein Betrag
von EUR 5,–) zusammengerechnet werden dürfen (Themenbereiche
„kombinierter Bescheid“ oder „Sammelbescheid“ bzw „zusammengefasste
Festsetzung“).</w:t>
      </w:r>
    </w:p>
    <w:p>
      <w:pPr>
        <w:widowControl w:val="on"/>
        <w:pBdr/>
        <w:spacing w:before="140" w:after="240" w:line="288" w:lineRule="auto"/>
        <w:ind w:left="0" w:right="0"/>
        <w:jc w:val="left"/>
      </w:pPr>
      <w:r>
        <w:rPr>
          <w:rFonts w:ascii="Arial" w:hAnsi="Arial" w:eastAsia="Arial" w:cs="Arial"/>
          <w:color w:val="000000"/>
          <w:sz w:val="20"/>
          <w:szCs w:val="20"/>
        </w:rPr>
        <w:t xml:space="preserve">Somit wird auf den vorerwähnten Kommunalsteuer-Abgabenrückstand
ein Säumniszuschlag in Höhe von 2 %, somit EUR …,
festgesetzt.</w:t>
      </w:r>
    </w:p>
    <w:p>
      <w:pPr>
        <w:widowControl w:val="on"/>
        <w:pBdr/>
        <w:spacing w:before="140" w:after="240" w:line="288" w:lineRule="auto"/>
        <w:ind w:left="0" w:right="0"/>
        <w:jc w:val="left"/>
      </w:pPr>
      <w:r>
        <w:rPr>
          <w:rFonts w:ascii="Arial" w:hAnsi="Arial" w:eastAsia="Arial" w:cs="Arial"/>
          <w:color w:val="000000"/>
          <w:sz w:val="20"/>
          <w:szCs w:val="20"/>
        </w:rPr>
        <w:t xml:space="preserve">b) Anrechenbare Abgabenzahlungen beim Säumniszuschlag:</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 Es wurde noch kein anrechenbarer Säumniszuschlag
entrichtet</w:t>
      </w:r>
    </w:p>
    <w:p>
      <w:pPr>
        <w:widowControl w:val="on"/>
        <w:pBdr/>
        <w:spacing w:before="140" w:after="240" w:line="288" w:lineRule="auto"/>
        <w:ind w:left="0" w:right="0"/>
        <w:jc w:val="left"/>
      </w:pPr>
      <w:r>
        <w:rPr>
          <w:rFonts w:ascii="Arial" w:hAnsi="Arial" w:eastAsia="Arial" w:cs="Arial"/>
          <w:color w:val="277DB9"/>
          <w:sz w:val="20"/>
          <w:szCs w:val="20"/>
        </w:rPr>
        <w:t xml:space="preserve">Auf den festgesetzten Säumniszuschlag sind keine Zahlungen
anrechenbar, sodass noch der gesamte festgesetzte Säumniszuschlag
in Höhe von EUR … aushaftet, welcher gem § 217a
Z 2 BAO bereits mit der Zustellung dieses Bescheides fällig
wurde; allenfalls bevorrangt anwendbare abweichende
insolvenzrechtliche Fälligkeitsbestimmungen bleiben unberührt.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Ein anrechenbarer Säumniszuschlag wurde bereits
entrichtet</w:t>
      </w:r>
    </w:p>
    <w:p>
      <w:pPr>
        <w:widowControl w:val="on"/>
        <w:pBdr/>
        <w:spacing w:before="140" w:after="240" w:line="288" w:lineRule="auto"/>
        <w:ind w:left="0" w:right="0"/>
        <w:jc w:val="left"/>
      </w:pPr>
      <w:r>
        <w:rPr>
          <w:rFonts w:ascii="Arial" w:hAnsi="Arial" w:eastAsia="Arial" w:cs="Arial"/>
          <w:color w:val="277DB9"/>
          <w:sz w:val="20"/>
          <w:szCs w:val="20"/>
        </w:rPr>
        <w:t xml:space="preserve">Bisher wurden nur EUR … an Säumniszuschlag entrichtet,
sodass noch ein Restbetrag an Säumniszuschlag in Höhe von
EUR … aushaftet, welcher gem § 217a Z 2 BAO
bereits mit der Zustellung dieses Bescheides fällig wurde;
allenfalls bevorrangt anwendbare abweichende insolvenzrechtliche
Fälligkeitsbestimmungen bleiben unberührt.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Begründung</w:t>
      </w:r>
    </w:p>
    <w:p>
      <w:pPr>
        <w:widowControl w:val="on"/>
        <w:pBdr/>
        <w:spacing w:before="140" w:after="240" w:line="288" w:lineRule="auto"/>
        <w:ind w:left="0" w:right="0"/>
        <w:jc w:val="left"/>
      </w:pPr>
      <w:r>
        <w:rPr>
          <w:rFonts w:ascii="Arial" w:hAnsi="Arial" w:eastAsia="Arial" w:cs="Arial"/>
          <w:color w:val="000000"/>
          <w:sz w:val="20"/>
          <w:szCs w:val="20"/>
        </w:rPr>
        <w:t xml:space="preserve">1. a) Bescheidaufhebung gem §§ 299 f BAO</w:t>
      </w:r>
    </w:p>
    <w:p>
      <w:pPr>
        <w:widowControl w:val="on"/>
        <w:pBdr/>
        <w:spacing w:before="140" w:after="240" w:line="288" w:lineRule="auto"/>
        <w:ind w:left="0" w:right="0"/>
        <w:jc w:val="left"/>
      </w:pPr>
      <w:r>
        <w:rPr>
          <w:rFonts w:ascii="Arial" w:hAnsi="Arial" w:eastAsia="Arial" w:cs="Arial"/>
          <w:color w:val="000000"/>
          <w:sz w:val="20"/>
          <w:szCs w:val="20"/>
        </w:rPr>
        <w:t xml:space="preserve">§ 299 BAO sieht vor, dass die Abgabenbehörde einen Bescheid
der Abgabenbehörde von Amts wegen (oder auf Antrag der Partei)
aufheben kann, wenn sich der Spruch des Bescheides als nicht
richtig erweist, wobei das Verfahren mit diesem aufhebenden
Bescheid in die Lage zurücktritt, in der es sich vor Erlassung des
aufhebenden Bescheides befunden hat, wobei der den aufgehobenen
Bescheid ersetzende Bescheid mit der Aufhebung zu verbinden ist.
Seit dem per 31.12.2016 in Kraft getretenen § 299a BAO dürfen
sich Aufhebungen gem § 299 BAO bei (Landes- und)
Gemeindeabgaben in Angelegenheiten des eigenen Wirkungsbereichs der
Gemeinde, insoweit ein zweistufiger Instanzenzug besteht, nur mehr
auf erstinstanzliche Bescheide beziehen (und demgemäß nur mehr von
Abgabenbehörden erster Instanz hinsichtlich der von der
Abgabenbehörde erster Instanz erlassenen Bescheide) ausgesprochen
werden.</w:t>
      </w:r>
    </w:p>
    <w:p>
      <w:pPr>
        <w:widowControl w:val="on"/>
        <w:pBdr/>
        <w:spacing w:before="140" w:after="240" w:line="288" w:lineRule="auto"/>
        <w:ind w:left="0" w:right="0"/>
        <w:jc w:val="left"/>
      </w:pPr>
      <w:r>
        <w:rPr>
          <w:rFonts w:ascii="Arial" w:hAnsi="Arial" w:eastAsia="Arial" w:cs="Arial"/>
          <w:color w:val="000000"/>
          <w:sz w:val="20"/>
          <w:szCs w:val="20"/>
        </w:rPr>
        <w:t xml:space="preserve">b) Inhaltliche Gründe der Bescheidaufhebung</w:t>
      </w:r>
    </w:p>
    <w:p>
      <w:pPr>
        <w:widowControl w:val="on"/>
        <w:pBdr/>
        <w:spacing w:before="140" w:after="240" w:line="288" w:lineRule="auto"/>
        <w:ind w:left="0" w:right="0"/>
        <w:jc w:val="left"/>
      </w:pPr>
      <w:r>
        <w:rPr>
          <w:rFonts w:ascii="Arial" w:hAnsi="Arial" w:eastAsia="Arial" w:cs="Arial"/>
          <w:color w:val="000000"/>
          <w:sz w:val="20"/>
          <w:szCs w:val="20"/>
        </w:rPr>
        <w:t xml:space="preserve">Die amtswegige Aufhebung des Bescheides vom … erwies sich
deswegen als notwendig, weil …</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 beim/bei der Abgabepflichtigen aus Anlass der
Insolvenzeröffnung für den Zeitraum ab 01.01.20… (neuerlich) eine
auch eine Kommunalsteuerprüfung umfassende Prüfung lohnabhängiger
Abgaben und Beiträge (PLB) bzw Sozialversicherungsprüfung iSd
§ 14 Abs 1 erster Satz Kommunalsteuergesetz 1993 –
KommStG 1993, BGBl 819/1993 in der geltenden Fassung, durch
den Prüfdienst für Lohnabgaben und Beiträge (im Auftrag des
Finanzamtes der Betriebsstätte) oder durch die Österreichische
Gesundheitskasse durchgeführt wurde, deren Prüfungsergebnisse der
Abgabenbehörde im Wege des Verfahrens FinanzOnline am … berichtet
wurden und welche von den bisher (im Bescheid vom …) der
Besteuerung zugrunde gelegten Bemessungsgrundlagen so
abweichen,</w:t>
      </w:r>
    </w:p>
    <w:p>
      <w:pPr>
        <w:widowControl w:val="on"/>
        <w:pBdr/>
        <w:spacing w:before="140" w:after="240" w:line="288" w:lineRule="auto"/>
        <w:ind w:left="0" w:right="0"/>
        <w:jc w:val="left"/>
      </w:pPr>
      <w:r>
        <w:rPr>
          <w:rFonts w:ascii="Arial" w:hAnsi="Arial" w:eastAsia="Arial" w:cs="Arial"/>
          <w:color w:val="000000"/>
          <w:sz w:val="20"/>
          <w:szCs w:val="20"/>
        </w:rPr>
        <w:t xml:space="preserve">…, dass sich der Spruch des zuvor erlassenen (und daher nun
aufzuhebenden) Bescheides als nicht richtig erweist.</w:t>
      </w:r>
    </w:p>
    <w:p>
      <w:pPr>
        <w:widowControl w:val="on"/>
        <w:pBdr/>
        <w:spacing w:before="140" w:after="240" w:line="288" w:lineRule="auto"/>
        <w:ind w:left="0" w:right="0"/>
        <w:jc w:val="left"/>
      </w:pPr>
      <w:r>
        <w:rPr>
          <w:rFonts w:ascii="Arial" w:hAnsi="Arial" w:eastAsia="Arial" w:cs="Arial"/>
          <w:color w:val="000000"/>
          <w:sz w:val="20"/>
          <w:szCs w:val="20"/>
        </w:rPr>
        <w:t xml:space="preserve">c) Auswirkungen der Bescheidaufhebung; notwendige
Folgerungen</w:t>
      </w:r>
    </w:p>
    <w:p>
      <w:pPr>
        <w:widowControl w:val="on"/>
        <w:pBdr/>
        <w:spacing w:before="140" w:after="240" w:line="288" w:lineRule="auto"/>
        <w:ind w:left="0" w:right="0"/>
        <w:jc w:val="left"/>
      </w:pPr>
      <w:r>
        <w:rPr>
          <w:rFonts w:ascii="Arial" w:hAnsi="Arial" w:eastAsia="Arial" w:cs="Arial"/>
          <w:color w:val="000000"/>
          <w:sz w:val="20"/>
          <w:szCs w:val="20"/>
        </w:rPr>
        <w:t xml:space="preserve">Durch den aufhebenden Bescheid tritt das Verfahren in die Lage
zurück, in der es sich vor Erlassung des aufhebenden Bescheides
befunden hat.</w:t>
      </w:r>
    </w:p>
    <w:p>
      <w:pPr>
        <w:widowControl w:val="on"/>
        <w:pBdr/>
        <w:spacing w:before="0" w:after="105" w:line="288" w:lineRule="auto"/>
        <w:ind w:left="0" w:right="0"/>
        <w:jc w:val="left"/>
      </w:pPr>
      <w:r>
        <w:rPr>
          <w:rFonts w:ascii="Arial" w:hAnsi="Arial" w:eastAsia="Arial" w:cs="Arial"/>
          <w:b/>
          <w:bCs/>
          <w:color w:val="277DB9"/>
          <w:sz w:val="25"/>
          <w:szCs w:val="25"/>
        </w:rPr>
        <w:t xml:space="preserve">Beispiel:</w:t>
      </w:r>
    </w:p>
    <w:p>
      <w:pPr>
        <w:widowControl w:val="on"/>
        <w:pBdr/>
        <w:spacing w:before="140" w:after="240" w:line="288" w:lineRule="auto"/>
        <w:ind w:left="0" w:right="0"/>
        <w:jc w:val="left"/>
      </w:pPr>
      <w:r>
        <w:rPr>
          <w:rFonts w:ascii="Arial" w:hAnsi="Arial" w:eastAsia="Arial" w:cs="Arial"/>
          <w:color w:val="277DB9"/>
          <w:sz w:val="20"/>
          <w:szCs w:val="20"/>
        </w:rPr>
        <w:t xml:space="preserve">Der/Die Abgabepflichtige hat für sein/ihr Unternehmen die
Verpflichtung, monatlich laufend die Kommunalsteuer zu entrichten
und jährlich bis zum 31.03. des Folgejahres eine
Kommunalsteuererklärung einzureichen, nicht vollständig erfüllt,
nachdem für den gesamten bescheidgegenständlichen Zeitraum nur
Zahlungen in Höhe von EUR …, … geleistet wurden/und auch die
Abgabenerklärung/en für das/die Kalenderjahr/e … bzw für das (wegen
Schließung der einzigen Betriebsstätte in der Gemeinde iSd
§ 11 Abs 4 KommStG 1993 zusätzlich binnen Monatsfrist
erklärungspflichtige bis zum … 20…reichende) Rumpfjahr 20… nicht
eingereicht wurde/n. Daher ist die Kommunalsteuer für den
bescheidgegenständlichen Zeitraum durch die zuständige
Abgabenbehörde erster Instanz mittels Abgabenbescheides
festzusetzen.</w:t>
      </w:r>
    </w:p>
    <w:p>
      <w:pPr>
        <w:widowControl w:val="on"/>
        <w:pBdr/>
        <w:spacing w:before="140" w:after="240" w:line="288" w:lineRule="auto"/>
        <w:ind w:left="0" w:right="0"/>
        <w:jc w:val="left"/>
      </w:pPr>
      <w:r>
        <w:rPr>
          <w:rFonts w:ascii="Arial" w:hAnsi="Arial" w:eastAsia="Arial" w:cs="Arial"/>
          <w:color w:val="000000"/>
          <w:sz w:val="20"/>
          <w:szCs w:val="20"/>
        </w:rPr>
        <w:t xml:space="preserve">2. Neue Kommunalsteuerfestsetzung für den Zeitraum … bis …</w:t>
      </w:r>
    </w:p>
    <w:p>
      <w:pPr>
        <w:widowControl w:val="on"/>
        <w:pBdr/>
        <w:spacing w:before="140" w:after="240" w:line="288" w:lineRule="auto"/>
        <w:ind w:left="0" w:right="0"/>
        <w:jc w:val="left"/>
      </w:pPr>
      <w:r>
        <w:rPr>
          <w:rFonts w:ascii="Arial" w:hAnsi="Arial" w:eastAsia="Arial" w:cs="Arial"/>
          <w:color w:val="000000"/>
          <w:sz w:val="20"/>
          <w:szCs w:val="20"/>
        </w:rPr>
        <w:t xml:space="preserve">Die Abgabenfestsetzungen für die Jahre … bis … erfolgen nun
anhand der oben angeführten im Wege des Verfahrens FinanzOnline am
… übermittelten PLB-Prüfungsergebnisse. Daher stellen sich die
Kommunalsteuer-Bemessungsgrundlagen für die einzelnen Jahre wie
folgt dar: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470"/>
        <w:gridCol w:w="6540"/>
        <w:gridCol w:w="2340"/>
      </w:tblGrid>
      <w:tr>
        <w:trPr>
          <w:trHeight w:val="0" w:hRule="atLeast"/>
        </w:trPr>
        <w:tc>
          <w:tcPr>
            <w:tcW w:w="147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Zeitraum/Jahr</w:t>
            </w:r>
          </w:p>
        </w:tc>
        <w:tc>
          <w:tcPr>
            <w:tcW w:w="65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Herkunft der
KommSt-Bemessungsgrundlage</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KommSt-Bemessungsgrundlage</w:t>
            </w:r>
          </w:p>
        </w:tc>
      </w:tr>
      <w:tr>
        <w:trPr>
          <w:trHeight w:val="0" w:hRule="atLeast"/>
        </w:trPr>
        <w:tc>
          <w:tcPr>
            <w:tcW w:w="147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w:t>
            </w:r>
          </w:p>
        </w:tc>
        <w:tc>
          <w:tcPr>
            <w:tcW w:w="65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laut erwähnter Prüfung (PLB)</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EUR …, …</w:t>
            </w:r>
          </w:p>
        </w:tc>
      </w:tr>
      <w:tr>
        <w:trPr>
          <w:trHeight w:val="0" w:hRule="atLeast"/>
        </w:trPr>
        <w:tc>
          <w:tcPr>
            <w:tcW w:w="147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 bis … 20…</w:t>
            </w:r>
          </w:p>
        </w:tc>
        <w:tc>
          <w:tcPr>
            <w:tcW w:w="65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 laut erwähnter Prüfung (PLB)</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EUR …, …</w:t>
            </w:r>
          </w:p>
        </w:tc>
      </w:tr>
      <w:tr>
        <w:trPr>
          <w:trHeight w:val="0" w:hRule="atLeast"/>
        </w:trPr>
        <w:tc>
          <w:tcPr>
            <w:tcW w:w="8010"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Summe KommSt-Bemessungsgrundlage</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EUR …, …</w:t>
            </w:r>
          </w:p>
        </w:tc>
      </w:tr>
      <w:tr>
        <w:trPr>
          <w:trHeight w:val="0" w:hRule="atLeast"/>
        </w:trPr>
        <w:tc>
          <w:tcPr>
            <w:tcW w:w="8010"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Davon 3 % Kommunalsteuer</w:t>
            </w:r>
          </w:p>
        </w:tc>
        <w:tc>
          <w:tcPr>
            <w:tcW w:w="23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EUR …,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Der/Die als Organ der Gemeinde tätig gewesene PLB-Prüfer/in gibt
an, dass die Kommunalsteuerbemessungsgrundlagen derart ermittelt
wurden, dass … [Übernahme des Begründungstextes aus dem
übermittelten PLB-Prüfungsergebnis] und dass die entsprechenden
Kommunalsteuerbemessungsgrundlagen im Zuge der Prüfung anerkannt
[alternativ, falls zutreffend: „nicht anerkannt“] wurden.</w:t>
      </w:r>
    </w:p>
    <w:p>
      <w:pPr>
        <w:widowControl w:val="on"/>
        <w:pBdr/>
        <w:spacing w:before="140" w:after="240" w:line="288" w:lineRule="auto"/>
        <w:ind w:left="0" w:right="0"/>
        <w:jc w:val="left"/>
      </w:pPr>
      <w:r>
        <w:rPr>
          <w:rFonts w:ascii="Arial" w:hAnsi="Arial" w:eastAsia="Arial" w:cs="Arial"/>
          <w:color w:val="000000"/>
          <w:sz w:val="20"/>
          <w:szCs w:val="20"/>
        </w:rPr>
        <w:t xml:space="preserve">Die Kommunalsteuer war unter der wie vorbeschrieben erfüllten
Voraussetzung, dass sich die Selbstberechnung als nicht richtig
erwiesen hat, gem § 11 Abs 3 zweiter Satz KommStG
1993 bescheidmäßig festzusetzen.</w:t>
      </w:r>
    </w:p>
    <w:p>
      <w:pPr>
        <w:widowControl w:val="on"/>
        <w:pBdr/>
        <w:spacing w:before="140" w:after="240" w:line="288" w:lineRule="auto"/>
        <w:ind w:left="0" w:right="0"/>
        <w:jc w:val="left"/>
      </w:pPr>
      <w:r>
        <w:rPr>
          <w:rFonts w:ascii="Arial" w:hAnsi="Arial" w:eastAsia="Arial" w:cs="Arial"/>
          <w:color w:val="000000"/>
          <w:sz w:val="20"/>
          <w:szCs w:val="20"/>
        </w:rPr>
        <w:t xml:space="preserve">3. (Angepasste) Festsetzung des Säumniszuschlages</w:t>
      </w:r>
    </w:p>
    <w:p>
      <w:pPr>
        <w:widowControl w:val="on"/>
        <w:pBdr/>
        <w:spacing w:before="140" w:after="240" w:line="288" w:lineRule="auto"/>
        <w:ind w:left="0" w:right="0"/>
        <w:jc w:val="left"/>
      </w:pPr>
      <w:r>
        <w:rPr>
          <w:rFonts w:ascii="Arial" w:hAnsi="Arial" w:eastAsia="Arial" w:cs="Arial"/>
          <w:color w:val="000000"/>
          <w:sz w:val="20"/>
          <w:szCs w:val="20"/>
        </w:rPr>
        <w:t xml:space="preserve">Der im Spruch dieses Bescheides ausgewiesene Abgabenrückstand
wäre iSd § 11 Abs 2 KommStG 1993 in seinen jeweiligen
Teilbeträgen bereits je bis zum 15. des darauffolgenden Monates
(Fälligkeitstag) an die Gemeinde zu entrichten gewesen. § 217
Abs 1 und 2 BAO in Verbindung mit § 217a Z 2 BAO
sieht vor, dass ein Säumniszuschlag in Höhe von 2 % des nicht
zeitgerecht entrichteten Abgabenbetrages zu entrichten ist, wenn
eine Abgabe nicht spätestens am Fälligkeitstag entrichtet wird und
der festzusetzende Säumniszuschlag (pro
Kalenderjahr) zumindest EUR 5,– erreicht, wobei
Säumniszuschläge im Zeitpunkt der Zustellung des sie festsetzenden
Bescheides fällig werden.</w:t>
      </w:r>
    </w:p>
    <w:p>
      <w:pPr>
        <w:widowControl w:val="on"/>
        <w:pBdr/>
        <w:spacing w:before="140" w:after="240" w:line="288" w:lineRule="auto"/>
        <w:ind w:left="0" w:right="0"/>
        <w:jc w:val="left"/>
      </w:pPr>
      <w:r>
        <w:rPr>
          <w:rFonts w:ascii="Arial" w:hAnsi="Arial" w:eastAsia="Arial" w:cs="Arial"/>
          <w:color w:val="000000"/>
          <w:sz w:val="20"/>
          <w:szCs w:val="20"/>
        </w:rPr>
        <w:t xml:space="preserve">Nach § 11 Abs 1 Kommunalsteuergesetz 1993 (KommStG
1993), BGBl 819/1993 in der geltenden Fassung, entsteht die
Steuerschuld mit Ablauf des Kalendermonats, in dem Lohnzahlungen
gewährt worden sind. Nach Abs 2 der erwähnten Bestimmung ist
die Kommunalsteuer vom Unternehmer für jeden Kalendermonat selbst
zu berechnen und bis zum 15. des darauf folgenden Monates
(Fälligkeitstag) an die Gemeinde zu entrichten.</w:t>
      </w:r>
    </w:p>
    <w:p>
      <w:pPr>
        <w:widowControl w:val="on"/>
        <w:pBdr/>
        <w:spacing w:before="140" w:after="240" w:line="288" w:lineRule="auto"/>
        <w:ind w:left="0" w:right="0"/>
        <w:jc w:val="left"/>
      </w:pPr>
      <w:r>
        <w:rPr>
          <w:rFonts w:ascii="Arial" w:hAnsi="Arial" w:eastAsia="Arial" w:cs="Arial"/>
          <w:color w:val="000000"/>
          <w:sz w:val="20"/>
          <w:szCs w:val="20"/>
        </w:rPr>
        <w:t xml:space="preserve">Wie in nachfolgender Aufstellung ersichtlich, wurden mehrere
Kommunalsteuerbeträge nicht fristgerecht – da nicht spätestens am
Fälligkeitstag – entrichtet, sodass gem § 217 Abs 1
BAO mit Ablauf des dargestellten Fälligkeitstages die Verpflichtung
zur Entrichtung eines Säumniszuschlages eintritt.</w:t>
      </w:r>
    </w:p>
    <w:tbl>
      <w:tblPr>
        <w:tblStyle w:val="NormalTablePHPDOCX"/>
        <w:tblW w:w="8700" w:type="dxa"/>
        <w:tblInd w:w="0" w:type="auto"/>
        <w:tblBorders>
          <w:top w:val="single" w:color="000000" w:sz="2"/>
          <w:left w:val="single" w:color="000000" w:sz="2"/>
          <w:bottom w:val="single" w:color="000000" w:sz="2"/>
          <w:right w:val="single" w:color="000000" w:sz="2"/>
        </w:tblBorders>
      </w:tblPr>
      <w:tblGrid>
        <w:gridCol w:w="2175"/>
        <w:gridCol w:w="2175"/>
        <w:gridCol w:w="2175"/>
        <w:gridCol w:w="2175"/>
      </w:tblGrid>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Kommunalsteuer für den Kalendermonat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Fälligkeitstag</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Tatsächlich (verspätet) erfolgte Zahlung am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Abgabenbetrag</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6525" w:type="dxa"/>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Insgesamt wurden somit Abgabenbeträge in folgender Höhe nicht
fristgerecht entrichtet (= Bemessungsgrundlage für den
Säumniszuschlag):</w:t>
            </w:r>
          </w:p>
        </w:tc>
        <w:tc>
          <w:tcPr>
            <w:tcW w:w="21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Wie aus obiger Aufstellung ersichtlich, wurde somit ein
Kommunalsteuerbetrag in Höhe von EUR … im Sinne der
vorstehenden materiellrechtlichen Bestimmungen (bzw im Sinne
etwaiger bescheidmäßiger Festsetzungen) nicht fristgerecht – da
nicht spätestens am Fälligkeitstag – entrichtet, sodass
gem §§ 217 und 217a BAO hierauf ein 2%iger (gem
§ 204 Abs 1 BAO auf volle Cent gerundeter)
Säumniszuschlag in Höhe von EUR … festzusetzen
war. Gegenstand der Säumniszuschlagfestsetzung sind – wie aus
der Tabelle im Spruch dieses Bescheides hervorgeht – nur solche
Kalenderjahre, wo die Summe der nicht fristgerecht erfolgten
Zahlungen eine Bemessungsgrundlage von zumindest EUR 250,–
erreicht.</w:t>
      </w:r>
    </w:p>
    <w:p>
      <w:pPr>
        <w:widowControl w:val="on"/>
        <w:pBdr/>
        <w:spacing w:before="140" w:after="240" w:line="288" w:lineRule="auto"/>
        <w:ind w:left="0" w:right="0"/>
        <w:jc w:val="left"/>
      </w:pPr>
      <w:r>
        <w:rPr>
          <w:rFonts w:ascii="Arial" w:hAnsi="Arial" w:eastAsia="Arial" w:cs="Arial"/>
          <w:color w:val="000000"/>
          <w:sz w:val="20"/>
          <w:szCs w:val="20"/>
        </w:rPr>
        <w:t xml:space="preserve">Im Spruch dieses Bescheides war daher auch der zu entrichtende
Säumniszuschlag, insoweit er auf (verspätete Zahlungen und) den
noch ausständigen Abgabenbetrag entfällt, festzusetzen.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Rechtsmittelbelehrung</w:t>
      </w:r>
    </w:p>
    <w:p>
      <w:pPr>
        <w:widowControl w:val="on"/>
        <w:pBdr/>
        <w:spacing w:before="140" w:after="240" w:line="288" w:lineRule="auto"/>
        <w:ind w:left="0" w:right="0"/>
        <w:jc w:val="left"/>
      </w:pPr>
      <w:r>
        <w:rPr>
          <w:rFonts w:ascii="Arial" w:hAnsi="Arial" w:eastAsia="Arial" w:cs="Arial"/>
          <w:color w:val="000000"/>
          <w:sz w:val="20"/>
          <w:szCs w:val="20"/>
        </w:rPr>
        <w:t xml:space="preserve">Sie haben das Recht, gegen diesen Bescheid das Rechtsmittel der
Berufung einzubringen. Die Berufung ist innerhalb eines Monats nach
Zustellung dieses Bescheides zur Post zu geben oder schriftlich bei
der Gemeinde … einzubringen.</w:t>
      </w:r>
    </w:p>
    <w:p>
      <w:pPr>
        <w:widowControl w:val="on"/>
        <w:pBdr/>
        <w:spacing w:before="140" w:after="240" w:line="288" w:lineRule="auto"/>
        <w:ind w:left="0" w:right="0"/>
        <w:jc w:val="left"/>
      </w:pPr>
      <w:r>
        <w:rPr>
          <w:rFonts w:ascii="Arial" w:hAnsi="Arial" w:eastAsia="Arial" w:cs="Arial"/>
          <w:color w:val="000000"/>
          <w:sz w:val="20"/>
          <w:szCs w:val="20"/>
        </w:rPr>
        <w:t xml:space="preserve">Die Berufung kann auch fernschriftlich, im Wege
automationsunterstützter Datenübertragung oder in jeder anderen
technisch möglichen Weise eingereicht werden. Für sämtliche Formen
der elektronischen Einbringung von Eingaben (einschließlich der
Einbringung per E-Mail) haben Sie die im Internet unter der Adresse
„…“ bekannt gemachten technischen Voraussetzungen und
organisatorischen Beschränkungen (besondere Übermittlungsformen,
zulässige Datenträger, Dateiformate und Dateigrößen) des
elektronischen Verkehrs zu beachten.</w:t>
      </w:r>
    </w:p>
    <w:p>
      <w:pPr>
        <w:widowControl w:val="on"/>
        <w:pBdr/>
        <w:spacing w:before="140" w:after="240" w:line="288" w:lineRule="auto"/>
        <w:ind w:left="0" w:right="0"/>
        <w:jc w:val="left"/>
      </w:pPr>
      <w:r>
        <w:rPr>
          <w:rFonts w:ascii="Arial" w:hAnsi="Arial" w:eastAsia="Arial" w:cs="Arial"/>
          <w:color w:val="000000"/>
          <w:sz w:val="20"/>
          <w:szCs w:val="20"/>
        </w:rPr>
        <w:t xml:space="preserve">Die Berufung hat den Bescheid, gegen den sie sich richtet, zu
bezeichnen. Weiters hat die Berufung die Erklärung, in welchen
Punkten der Bescheid angefochten wird, die Erklärung, welche
Änderungen beantragt werden und eine Begründung zu enthalten.</w:t>
      </w:r>
    </w:p>
    <w:p>
      <w:pPr>
        <w:widowControl w:val="on"/>
        <w:pBdr/>
        <w:spacing w:before="140" w:after="240" w:line="288" w:lineRule="auto"/>
        <w:ind w:left="0" w:right="0"/>
        <w:jc w:val="left"/>
      </w:pPr>
      <w:r>
        <w:rPr>
          <w:rFonts w:ascii="Arial" w:hAnsi="Arial" w:eastAsia="Arial" w:cs="Arial"/>
          <w:color w:val="000000"/>
          <w:sz w:val="20"/>
          <w:szCs w:val="20"/>
        </w:rPr>
        <w:t xml:space="preserve">Die Berufung hat keine aufschiebende Wirkung, das heißt, dass
durch Einbringung einer Berufung die Wirksamkeit des angefochtenen
Bescheides nicht gehemmt und insbesondere die Einhebung und
zwangsweise Einbringung einer Abgabe nicht aufgehalten wird.</w:t>
      </w:r>
    </w:p>
    <w:p>
      <w:pPr>
        <w:widowControl w:val="on"/>
        <w:pBdr/>
        <w:spacing w:before="140" w:after="240" w:line="288" w:lineRule="auto"/>
        <w:ind w:left="0" w:right="0"/>
        <w:jc w:val="left"/>
      </w:pPr>
      <w:r>
        <w:rPr>
          <w:rFonts w:ascii="Arial" w:hAnsi="Arial" w:eastAsia="Arial" w:cs="Arial"/>
          <w:color w:val="000000"/>
          <w:sz w:val="20"/>
          <w:szCs w:val="20"/>
        </w:rPr>
        <w:t xml:space="preserve">Der Bürgermeister: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Bürgermeisters]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612219" w:name="note1"/>
            <w:bookmarkEnd w:id="53612219"/>
            <w:bookmarkStart w:id="9517153512906" w:name="note1"/>
            <w:r>
              <w:rPr>
                <w:rFonts w:ascii="Arial" w:hAnsi="Arial" w:eastAsia="Arial" w:cs="Arial"/>
                <w:b/>
                <w:bCs/>
                <w:color w:val="000000"/>
                <w:position w:val="0"/>
                <w:sz w:val="20"/>
                <w:szCs w:val="20"/>
              </w:rPr>
              <w:t xml:space="preserve">[1]</w:t>
            </w:r>
            <w:bookmarkEnd w:id="95171535129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Begriff „Insolvenzverwalter/in“ gelangt in
Insolvenzverfahren und in Sanierungsverfahren ohne (!)
Eigenverwaltung (jeweils anstelle der seit 01.07.2010 wegen
§ 275 Abs 1 Z 14 und 15 IO als veraltet anzusehenden
Bezeichnung „Masseverwalter/in“ gem § 275 Abs 1
Z 14 IO) zur Anwendung; in Sanierungsverfahren mit (!)
Eigenverwaltung hat – auch in weiterer Folge (!) in diesem Bescheid
soweit erforderlich korrigierend – jeweils vom (von der)
„Sanierungsverwalter(in)“ die Rede zu sein.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1601913" w:name="note2"/>
            <w:bookmarkEnd w:id="51601913"/>
            <w:bookmarkStart w:id="209549131664" w:name="note2"/>
            <w:r>
              <w:rPr>
                <w:rFonts w:ascii="Arial" w:hAnsi="Arial" w:eastAsia="Arial" w:cs="Arial"/>
                <w:b/>
                <w:bCs/>
                <w:color w:val="000000"/>
                <w:position w:val="0"/>
                <w:sz w:val="20"/>
                <w:szCs w:val="20"/>
              </w:rPr>
              <w:t xml:space="preserve">[2]</w:t>
            </w:r>
            <w:bookmarkEnd w:id="20954913166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Zeitlich eingeschränkte Anwendbarkeit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Allgemein muss eine auf § 299 BAO gestützte Aufhebung
binnen Jahresfrist ab Zustellung des aufzuhebenden Bescheides
erfolgen (bzw zumindest innerhalb dieser Frist beantragt worden
sein) – siehe letzter Teiltatbestand in § 302 Abs 1 BAO
(bzw § 302 Abs 2 lit b BAO).</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Andernfalls ist für gewünschte oder erforderliche Eingriffe in
erlassene Bescheide nach anderen geeigneten verfahrensrechtlichen
Maßnahmen (welche auch zeitlich gesehen noch rechtskonform zur
Verfügung stehen) – wie beispielsweise solche iSd §§ 293,
293b, 294, 295, 295a, 297, 298 oder 303 BAO zu suchen, wobei (neben
der Erfüllung der jeweiligen zeitlichen Einschränkungen) auch die
Erfüllung der jeweiligen inhaltlichen Voraussetzungen zu prüfen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8376389" w:name="note3"/>
            <w:bookmarkEnd w:id="98376389"/>
            <w:bookmarkStart w:id="6775222493788" w:name="note3"/>
            <w:r>
              <w:rPr>
                <w:rFonts w:ascii="Arial" w:hAnsi="Arial" w:eastAsia="Arial" w:cs="Arial"/>
                <w:b/>
                <w:bCs/>
                <w:color w:val="000000"/>
                <w:position w:val="0"/>
                <w:sz w:val="20"/>
                <w:szCs w:val="20"/>
              </w:rPr>
              <w:t xml:space="preserve">[3]</w:t>
            </w:r>
            <w:bookmarkEnd w:id="6775222493788"/>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Keine Aufhebung zweitinstanzlicher Bescheide!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einen zweitinstanzlichen Bescheid konnte im Wege der
Bescheidaufhebung auf Grundlage des § 299 BAO wegen der
Einführung des § 299a BAO durch BGBl 117/2016 nur bis zum
30.12.2016 eingegriffen werden (Zeitpunkt des Inkrafttretens des
Abgabenänderungsgesetzes 2016 – AbgÄG 2016 hinsichtlich jener
Bestimmungen, deren Inkrafttreten nicht gesondert durch § 323
Abs 51 BAO bestimmt ist).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91847">
    <w:multiLevelType w:val="hybridMultilevel"/>
    <w:lvl w:ilvl="0" w:tplc="39508981">
      <w:start w:val="1"/>
      <w:numFmt w:val="decimal"/>
      <w:lvlText w:val="%1."/>
      <w:lvlJc w:val="left"/>
      <w:pPr>
        <w:ind w:left="720" w:hanging="360"/>
      </w:pPr>
    </w:lvl>
    <w:lvl w:ilvl="1" w:tplc="39508981" w:tentative="1">
      <w:start w:val="1"/>
      <w:numFmt w:val="lowerLetter"/>
      <w:lvlText w:val="%2."/>
      <w:lvlJc w:val="left"/>
      <w:pPr>
        <w:ind w:left="1440" w:hanging="360"/>
      </w:pPr>
    </w:lvl>
    <w:lvl w:ilvl="2" w:tplc="39508981" w:tentative="1">
      <w:start w:val="1"/>
      <w:numFmt w:val="lowerRoman"/>
      <w:lvlText w:val="%3."/>
      <w:lvlJc w:val="right"/>
      <w:pPr>
        <w:ind w:left="2160" w:hanging="180"/>
      </w:pPr>
    </w:lvl>
    <w:lvl w:ilvl="3" w:tplc="39508981" w:tentative="1">
      <w:start w:val="1"/>
      <w:numFmt w:val="decimal"/>
      <w:lvlText w:val="%4."/>
      <w:lvlJc w:val="left"/>
      <w:pPr>
        <w:ind w:left="2880" w:hanging="360"/>
      </w:pPr>
    </w:lvl>
    <w:lvl w:ilvl="4" w:tplc="39508981" w:tentative="1">
      <w:start w:val="1"/>
      <w:numFmt w:val="lowerLetter"/>
      <w:lvlText w:val="%5."/>
      <w:lvlJc w:val="left"/>
      <w:pPr>
        <w:ind w:left="3600" w:hanging="360"/>
      </w:pPr>
    </w:lvl>
    <w:lvl w:ilvl="5" w:tplc="39508981" w:tentative="1">
      <w:start w:val="1"/>
      <w:numFmt w:val="lowerRoman"/>
      <w:lvlText w:val="%6."/>
      <w:lvlJc w:val="right"/>
      <w:pPr>
        <w:ind w:left="4320" w:hanging="180"/>
      </w:pPr>
    </w:lvl>
    <w:lvl w:ilvl="6" w:tplc="39508981" w:tentative="1">
      <w:start w:val="1"/>
      <w:numFmt w:val="decimal"/>
      <w:lvlText w:val="%7."/>
      <w:lvlJc w:val="left"/>
      <w:pPr>
        <w:ind w:left="5040" w:hanging="360"/>
      </w:pPr>
    </w:lvl>
    <w:lvl w:ilvl="7" w:tplc="39508981" w:tentative="1">
      <w:start w:val="1"/>
      <w:numFmt w:val="lowerLetter"/>
      <w:lvlText w:val="%8."/>
      <w:lvlJc w:val="left"/>
      <w:pPr>
        <w:ind w:left="5760" w:hanging="360"/>
      </w:pPr>
    </w:lvl>
    <w:lvl w:ilvl="8" w:tplc="39508981" w:tentative="1">
      <w:start w:val="1"/>
      <w:numFmt w:val="lowerRoman"/>
      <w:lvlText w:val="%9."/>
      <w:lvlJc w:val="right"/>
      <w:pPr>
        <w:ind w:left="6480" w:hanging="180"/>
      </w:pPr>
    </w:lvl>
  </w:abstractNum>
  <w:abstractNum w:abstractNumId="26391846">
    <w:multiLevelType w:val="hybridMultilevel"/>
    <w:lvl w:ilvl="0" w:tplc="739465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91846">
    <w:abstractNumId w:val="26391846"/>
  </w:num>
  <w:num w:numId="26391847">
    <w:abstractNumId w:val="263918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57920613" Type="http://schemas.openxmlformats.org/officeDocument/2006/relationships/numbering" Target="numbering.xml"/><Relationship Id="rId76844462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