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6838799" w:name="document"/>
    <w:bookmarkEnd w:id="16838799"/>
    <w:p/>
    <w:p>
      <w:pPr>
        <w:widowControl w:val="on"/>
        <w:pBdr/>
        <w:spacing w:before="0" w:after="280" w:line="240" w:lineRule="auto"/>
        <w:ind w:left="0" w:right="0"/>
        <w:jc w:val="left"/>
      </w:pPr>
      <w:r>
        <w:rPr>
          <w:rFonts w:ascii="Arial" w:hAnsi="Arial" w:eastAsia="Arial" w:cs="Arial"/>
          <w:color w:val="363A40"/>
          <w:sz w:val="24"/>
          <w:szCs w:val="24"/>
        </w:rPr>
        <w:t xml:space="preserve">Dokument-ID: 956312 | Sylvia Unger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Allgemeine Verkaufsbedingungen (AVB) für den Handel mit Waren,
die „face-to-face“ im Geschäft dem Kunden verkauft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Mit diesen AVB sollen die Verkaufsbedingungen von Waren im Handel
geregelt werden. Sie gelten für den Verkauf von Waren im „B2C“
Bereich, dh Käufer ist ein Verbraucher oder ein „Unternehmer“, der
die Waren ihm Rahmen eines sog Gründungsgeschäftes erwirbt. Ein
Gründungsgeschäft schließt eine natürliche Person vor Aufnahme des
Betriebes ihres Unternehmens zur Schaffung der Voraussetzungen für
diese Betriebsaufnahme oder für die Gründung des Unternehmens ab.
Eine solche Person wird wie ein Verbraucher behandelt (vgl § 1
Abs 3 KSchG). Daher gelten auch für sie die Schutzbestimmungen
des Konsumentenschutzgesetzes.</w:t>
      </w:r>
    </w:p>
    <w:p>
      <w:pPr>
        <w:widowControl w:val="on"/>
        <w:pBdr/>
        <w:spacing w:before="140" w:after="240" w:line="288" w:lineRule="auto"/>
        <w:ind w:left="0" w:right="0"/>
        <w:jc w:val="left"/>
      </w:pPr>
      <w:r>
        <w:rPr>
          <w:rFonts w:ascii="Arial" w:hAnsi="Arial" w:eastAsia="Arial" w:cs="Arial"/>
          <w:color w:val="000000"/>
          <w:sz w:val="20"/>
          <w:szCs w:val="20"/>
        </w:rPr>
        <w:t xml:space="preserve">Diese AVB gelten für den Verkauf von Waren, die direkt vor Ort
im Geschäft des Unternehmers „face-to-face“ erworben werden
(Barverkäufe). Die Waren werden direkt im Geschäft bezahlt. Die
Bestimmungen des ECG und des FAGG finden keine Anwendung, weil es
sich weder um ein Geschäft im E-Commerce-Bereich noch um ein
solches handelt, das im Fernabsatz abgeschlossen wird.</w:t>
      </w:r>
    </w:p>
    <w:p>
      <w:pPr>
        <w:widowControl w:val="on"/>
        <w:pBdr/>
        <w:spacing w:before="140" w:after="240" w:line="288" w:lineRule="auto"/>
        <w:ind w:left="0" w:right="0"/>
        <w:jc w:val="left"/>
      </w:pPr>
      <w:r>
        <w:rPr>
          <w:rFonts w:ascii="Arial" w:hAnsi="Arial" w:eastAsia="Arial" w:cs="Arial"/>
          <w:color w:val="000000"/>
          <w:sz w:val="20"/>
          <w:szCs w:val="20"/>
        </w:rPr>
        <w:t xml:space="preserve">Bei Barverkäufen in den Geschäftsräumlichkeiten sind die
folgenden AVB dem Kunden vor Vertragsabschluss (und vor Erfüllung)
– das ist bei Barkäufen meist (bloß) die Rechnung – tatsächlich
zugänglich zu machen, weil die AVB mit dem Kunden vereinbart werden
müssen, sonst gelten sie nicht. Dies kann durch Aushang oder
Auflegung der AVB im Geschäft geschehen. Es empfiehlt sich
zusätzlich die AVB mit dem Vertragstext/Rechnung an den Kunden
auszuhändigen, zB als Beilage oder auf der Rückseite. Außerdem
sollte der Kunde auf dem Vertragstext/Rechnung bestätigen, dass</w:t>
      </w:r>
    </w:p>
    <w:p>
      <w:pPr>
        <w:numPr>
          <w:ilvl w:val="0"/>
          <w:numId w:val="6156372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die AVB verwendende Unternehmen auf die AVB vor
Vertragsabschluss hingewiesen hat</w:t>
      </w:r>
    </w:p>
    <w:p>
      <w:pPr>
        <w:numPr>
          <w:ilvl w:val="0"/>
          <w:numId w:val="6156372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Geschäfte und Lieferungen ausnahmslos die AVB gelten</w:t>
      </w:r>
    </w:p>
    <w:p>
      <w:pPr>
        <w:numPr>
          <w:ilvl w:val="0"/>
          <w:numId w:val="6156372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Unternehmen nur zu diesen Bedingungen Geschäfte
abschließt</w:t>
      </w:r>
    </w:p>
    <w:p>
      <w:pPr>
        <w:widowControl w:val="on"/>
        <w:pBdr/>
        <w:spacing w:before="140" w:after="240" w:line="288" w:lineRule="auto"/>
        <w:ind w:left="0" w:right="0"/>
        <w:jc w:val="left"/>
      </w:pPr>
      <w:r>
        <w:rPr>
          <w:rFonts w:ascii="Arial" w:hAnsi="Arial" w:eastAsia="Arial" w:cs="Arial"/>
          <w:color w:val="000000"/>
          <w:sz w:val="20"/>
          <w:szCs w:val="20"/>
        </w:rPr>
        <w:t xml:space="preserve">Die Informationspflichten nach § 5a KSchG sind zu beachten,
wenn es sich nicht um Geschäfte des täglichen Lebens handelt, die
zum Zeitpunkt des Vertragsabschlusses sofort erfüllt werden. Nach
§ 5a Abs 1 KSchG sind dem Verbraucher, bevor dieser durch
einen Vertrag oder seine Vertragserklärung gebunden ist, in klarer
und verständlicher Weise folgende Informationen zur Verfügung zu
stellen, soweit diese Informationen nicht bereits unmittelbar aus
den Umständen ergeben:</w:t>
      </w:r>
    </w:p>
    <w:p>
      <w:pPr>
        <w:numPr>
          <w:ilvl w:val="0"/>
          <w:numId w:val="72315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wesentlichen Eigenschaften der Ware</w:t>
      </w:r>
    </w:p>
    <w:p>
      <w:pPr>
        <w:numPr>
          <w:ilvl w:val="0"/>
          <w:numId w:val="72315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Firma und die Telefonnummer des Unternehmers sowie die
Anschrift seiner Niederlassung</w:t>
      </w:r>
    </w:p>
    <w:p>
      <w:pPr>
        <w:numPr>
          <w:ilvl w:val="0"/>
          <w:numId w:val="72315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Gesamtpreis der Ware einschließlich aller Steuern und Abgaben,
wenn aber der Preis aufgrund der Beschaffenheit der Ware
vernünftigerweise nicht im Voraus berechnet werden kann, die Art
der Preisberechnung und gegebenenfalls alle zusätzlichen Fracht-,
Liefer- oder Versandkosten oder, wenn diese Kosten
vernünftigerweise nicht im Voraus berechnet werden können, das
allfällige Anfallen solcher zusätzlicher Kosten</w:t>
      </w:r>
    </w:p>
    <w:p>
      <w:pPr>
        <w:numPr>
          <w:ilvl w:val="0"/>
          <w:numId w:val="72315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Gegebenenfalls die Zahlungs-, Liefer- und Leistungsbedingungen,
den Zeitraum, innerhalb dessen nach der Zusage des Unternehmers die
Ware geliefert wird, sowie ein allenfalls vorgesehenes Verfahren
beim Umgang des Unternehmers mit Beschwerden</w:t>
      </w:r>
    </w:p>
    <w:p>
      <w:pPr>
        <w:numPr>
          <w:ilvl w:val="0"/>
          <w:numId w:val="72315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Zusätzlich zu dem Hinweis auf das Bestehen eines gesetzlichen
Gewährleistungsrechts für die Ware gegebenenfalls das Bestehen und
die Bedingungen von Kundendienstleistungen nach dem Verkauf und von
gewerblichen Garantien</w:t>
      </w:r>
    </w:p>
    <w:p>
      <w:pPr>
        <w:numPr>
          <w:ilvl w:val="0"/>
          <w:numId w:val="72315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Gegebenenfalls die Laufzeit des Vertrags oder die Bedingungen
für die Kündigung unbefristeter Verträge oder sich automatisch
verlängernder Verträge</w:t>
      </w:r>
    </w:p>
    <w:p>
      <w:pPr>
        <w:numPr>
          <w:ilvl w:val="0"/>
          <w:numId w:val="72315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Gegebenenfalls die Funktionsweise digitaler Inhalte
einschließlich anwendbarer technischer Schutzmaßnahmen für solche
Inhalte</w:t>
      </w:r>
    </w:p>
    <w:p>
      <w:pPr>
        <w:numPr>
          <w:ilvl w:val="0"/>
          <w:numId w:val="72315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Gegebenenfalls – soweit wesentlich – die Interoperabilität
digitaler Inhalte mit Hard- und Software, soweit diese dem
Unternehmer bekannt ist oder vernünftigerweise bekannt sein
muss</w:t>
      </w:r>
    </w:p>
    <w:p>
      <w:r>
        <w:pict>
          <v:rect id="_x0000_i1026" style="width:0;height:1.5pt" o:hralign="center" o:hrstd="t" o:hr="t" o:hrnoshade="t" fillcolor="#a0a0a0" stroked="f"/>
        </w:pic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Allgemeine Verkaufsbedingungen (AVB)</w:t>
      </w:r>
    </w:p>
    <w:p>
      <w:pPr>
        <w:widowControl w:val="on"/>
        <w:pBdr/>
        <w:spacing w:before="140" w:after="240" w:line="288" w:lineRule="auto"/>
        <w:ind w:left="0" w:right="0"/>
        <w:jc w:val="left"/>
      </w:pPr>
      <w:r>
        <w:rPr>
          <w:rFonts w:ascii="Arial" w:hAnsi="Arial" w:eastAsia="Arial" w:cs="Arial"/>
          <w:color w:val="000000"/>
          <w:sz w:val="20"/>
          <w:szCs w:val="20"/>
        </w:rPr>
        <w:t xml:space="preserve">der AA-GmbH [Unternehmer]</w:t>
      </w:r>
      <w:r>
        <w:rPr>
          <w:rFonts w:ascii="Arial" w:hAnsi="Arial" w:eastAsia="Arial" w:cs="Arial"/>
          <w:color w:val="000000"/>
          <w:sz w:val="20"/>
          <w:szCs w:val="20"/>
        </w:rPr>
        <w:br/>
        <w:t xml:space="preserve">gültig ab … [Datum]</w:t>
      </w:r>
      <w:r>
        <w:rPr>
          <w:rFonts w:ascii="Arial" w:hAnsi="Arial" w:eastAsia="Arial" w:cs="Arial"/>
          <w:color w:val="000000"/>
          <w:sz w:val="20"/>
          <w:szCs w:val="20"/>
        </w:rPr>
        <w:br/>
        <w:t xml:space="preserve">FN: … [Firmenbuchnummer]</w:t>
      </w:r>
      <w:r>
        <w:rPr>
          <w:rFonts w:ascii="Arial" w:hAnsi="Arial" w:eastAsia="Arial" w:cs="Arial"/>
          <w:color w:val="000000"/>
          <w:sz w:val="20"/>
          <w:szCs w:val="20"/>
        </w:rPr>
        <w:br/>
        <w:t xml:space="preserve">Firmenbuchgericht: … [zB Firmenbuchgericht des Handelsgerichtes
Wien]</w:t>
      </w:r>
      <w:r>
        <w:rPr>
          <w:rFonts w:ascii="Arial" w:hAnsi="Arial" w:eastAsia="Arial" w:cs="Arial"/>
          <w:color w:val="000000"/>
          <w:sz w:val="20"/>
          <w:szCs w:val="20"/>
        </w:rPr>
        <w:br/>
        <w:t xml:space="preserve">Adresse: … [Straße, Hausnr, PLZ, Ort]</w:t>
      </w:r>
      <w:r>
        <w:rPr>
          <w:rFonts w:ascii="Arial" w:hAnsi="Arial" w:eastAsia="Arial" w:cs="Arial"/>
          <w:color w:val="000000"/>
          <w:sz w:val="20"/>
          <w:szCs w:val="20"/>
        </w:rPr>
        <w:br/>
        <w:t xml:space="preserve">Tel: … [Telefonnummer]</w:t>
      </w:r>
      <w:r>
        <w:rPr>
          <w:rFonts w:ascii="Arial" w:hAnsi="Arial" w:eastAsia="Arial" w:cs="Arial"/>
          <w:color w:val="000000"/>
          <w:sz w:val="20"/>
          <w:szCs w:val="20"/>
        </w:rPr>
        <w:br/>
        <w:t xml:space="preserve">E-Mail: … [E-Mailadresse]</w:t>
      </w:r>
      <w:r>
        <w:rPr>
          <w:rFonts w:ascii="Arial" w:hAnsi="Arial" w:eastAsia="Arial" w:cs="Arial"/>
          <w:color w:val="000000"/>
          <w:sz w:val="20"/>
          <w:szCs w:val="20"/>
        </w:rPr>
        <w:br/>
        <w:t xml:space="preserve">UID-Nr: … [UID-Nummer]</w:t>
      </w:r>
      <w:r>
        <w:rPr>
          <w:rFonts w:ascii="Arial" w:hAnsi="Arial" w:eastAsia="Arial" w:cs="Arial"/>
          <w:color w:val="000000"/>
          <w:sz w:val="20"/>
          <w:szCs w:val="20"/>
        </w:rPr>
        <w:br/>
        <w:t xml:space="preserve">Mitglied der … [zB Sektion der Wirtschaftskammer]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Geltung und Allgemeines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alle Geschäfte und Lieferungen der AA-GmbH gelten
ausnahmslos diese Allgemeinen Verkaufsbedingungen (im Folgenden
kurz: „AVB“). Sie bilden einen integrierten Bestandteil der
zwischen der AA-GmbH und dem Kunden abgeschlossenen Verträge. Die
AA-GmbH schließt nur zu diesen AVB Verträge ab.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Nebenabreden oder Änderungen dieser AVB müssen schriftlich
vereinbart werden, ebenso das Abgehen vom
Schriftformerfordernis.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AVB gelten bis zur Bekanntmachung neuer AVB durch die
AA-GmbH.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AVB liegen in den Geschäftsräumlichkeiten der AA-GmbH auf
und sind auch unter http://www.aa-gmbh.at abrufbar.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in diesen AVB auf die Preisliste Bezug genommen wird, ist
damit die am Tag des Vertragsabschlusses gültige Preisliste der
AA-GmbH gemeint. Diese wird in den Geschäftsräumlichkeiten der
AA-GmbH sowie unter http://www.aa-gmbh.at/preisliste zur Verfügung
gestellt.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Preis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Preis bestimmt sich nach der aktuell gültigen Preisliste der
AA-GmbH. In den Preisen ist die Umsatzsteuer enthalten und
gesondert ausgewiesen.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Lieferung erfolgt im Namen und auf Rechnung des Kunden.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AA-GmbH liefert nur in Österreich.</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Zahlungsbedingungen,
Annahmeverzug, Verzugszinsen und Mahn- und Betreibungskosten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nichts Gegenteiliges vereinbart, sind Forderungen der
AA-GmbH gegenüber ihren Kunden sofort nach Rechnungslegung ohne
Abzug zur Bezahlung fällig.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Übernimmt der Kunde die Ware nicht wie vereinbart
</w:t>
            </w:r>
            <w:r>
              <w:rPr>
                <w:rFonts w:ascii="Arial" w:hAnsi="Arial" w:eastAsia="Arial" w:cs="Arial"/>
                <w:b/>
                <w:bCs/>
                <w:color w:val="000000"/>
                <w:position w:val="0"/>
                <w:sz w:val="20"/>
                <w:szCs w:val="20"/>
                <w:shd w:val="clear" w:color="auto" w:fill="FFFFFF"/>
              </w:rPr>
              <w:t xml:space="preserve">(Annahmeverzug)</w:t>
            </w:r>
            <w:r>
              <w:rPr>
                <w:rFonts w:ascii="Arial" w:hAnsi="Arial" w:eastAsia="Arial" w:cs="Arial"/>
                <w:color w:val="000000"/>
                <w:position w:val="0"/>
                <w:sz w:val="20"/>
                <w:szCs w:val="20"/>
                <w:shd w:val="clear" w:color="auto" w:fill="FFFFFF"/>
              </w:rPr>
              <w:t xml:space="preserve">, ist die AA-GmbH nach erfolgloser
Nachfristsetzung berechtigt, die Ware entweder bei sich
einzulagern, wofür sie eine Lagergebühr von 0,1 % des
Bruttorechnungsbetrages pro angefangenem Kalendertag in Rechnung
stellen kann, oder auf Kosten und Gefahr des Kunden bei einem dazu
befugten Unternehmer/Gewerbsmann einzulagern.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Verzug durch den Kunden ist die AA-GmbH berechtigt,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ihrer Wahl den Ersatz des tatsächlich entstandenen Schadens
oder die gesetzlichen Verzugszinsen iHv 4 % pa zu
</w:t>
                  </w:r>
                  <w:r>
                    <w:rPr>
                      <w:rFonts w:ascii="Arial" w:hAnsi="Arial" w:eastAsia="Arial" w:cs="Arial"/>
                      <w:color w:val="000000"/>
                      <w:position w:val="0"/>
                      <w:sz w:val="20"/>
                      <w:szCs w:val="20"/>
                      <w:shd w:val="clear" w:color="auto" w:fill="FFFFFF"/>
                    </w:rPr>
                    <w:t xml:space="preserve">verrechnen.</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Verzugszinsen bei Verbrauchern betragen gem § 1000 Abs 1
ABGB 4 % pa.</w:t>
                  </w:r>
                  <w:r>
                    <w:rPr>
                      <w:rFonts w:ascii="Arial" w:hAnsi="Arial" w:eastAsia="Arial" w:cs="Arial"/>
                      <w:color w:val="777777"/>
                      <w:position w:val="0"/>
                      <w:sz w:val="18"/>
                      <w:szCs w:val="18"/>
                      <w:shd w:val="clear" w:color="auto" w:fill="FFFFFF"/>
                    </w:rPr>
                    <w:t xml:space="preserve">) </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Mahn- und Inkassokosten, soweit sie zur zweckentsprechenden
Rechtsverfolgung notwendig sind, zu verrechnen.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des Zahlungsverzugs des Kunden ab dem Tag der Übergabe
der Ware auch Zinseszinsen zu </w:t>
                  </w:r>
                  <w:r>
                    <w:rPr>
                      <w:rFonts w:ascii="Arial" w:hAnsi="Arial" w:eastAsia="Arial" w:cs="Arial"/>
                      <w:color w:val="000000"/>
                      <w:position w:val="0"/>
                      <w:sz w:val="20"/>
                      <w:szCs w:val="20"/>
                      <w:shd w:val="clear" w:color="auto" w:fill="FFFFFF"/>
                    </w:rPr>
                    <w:t xml:space="preserve">verlangen.</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Zinseszinsen: Der Gläubiger einer Geldforderung kann
Zinseszinsen verlangen, wenn die Vertragspartner dies ausdrücklich
vereinbart haben. Sonst kann er, sofern fällige Zinsen eingeklagt
werden, Zinseszinsen vom Tag der Streitanhängigkeit an fordern.
Wurde über die Höhe der Zinseszinsen keine Vereinbarung getroffen,
so sind ebenfalls 4 % pa zu entrichten (§ 1000 Abs 2
ABGB).</w:t>
                  </w:r>
                  <w:r>
                    <w:rPr>
                      <w:rFonts w:ascii="Arial" w:hAnsi="Arial" w:eastAsia="Arial" w:cs="Arial"/>
                      <w:color w:val="777777"/>
                      <w:position w:val="0"/>
                      <w:sz w:val="18"/>
                      <w:szCs w:val="18"/>
                      <w:shd w:val="clear" w:color="auto" w:fill="FFFFFF"/>
                    </w:rPr>
                    <w:t xml:space="preserve">) </w:t>
                  </w:r>
                </w:p>
              </w:tc>
            </w:tr>
          </w:tbl>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Eigentumsvorbehalt,
Veräußerungsverbot und Forderungsabtretung</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Ware bleibt bis zur vollständigen Bezahlung sämtlicher
Forderungen (einschließlich Zinsen) im Eigentum der AA-GmbH. Der
Kunde trägt ab Annahme der Ware das gesamte Risiko für die
Vorbehaltsware, insbesondere für die Gefahr des Untergangs, des
Verlusts oder der Verschlechterung.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ist bis zur vollständigen Bezahlung sämtlicher
Forderungen (einschließlich Zinsen) nicht berechtigt, die Ware an
Dritte zu veräußern, zu verleihen, zu verpfänden oder sonst zu
verwerten. Sollte eine Pfändung der Ware durch Dritte erfolgen, ist
die AA-GmbH davon unverzüglich zu informieren.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der Kunde dennoch die Ware weiterveräußert haben, tritt
er im Voraus alle Forderungen aus der Weiterveräußerung bis zur
Zahlung sämtlicher Forderungen an die AA-GmbH an diese ab.</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Rücktrittsrecht nach § 3a
</w:t>
      </w:r>
      <w:r>
        <w:rPr>
          <w:rFonts w:ascii="Arial" w:hAnsi="Arial" w:eastAsia="Arial" w:cs="Arial"/>
          <w:b/>
          <w:bCs/>
          <w:color w:val="363A40"/>
          <w:sz w:val="28"/>
          <w:szCs w:val="28"/>
        </w:rPr>
        <w:t xml:space="preserve">KSchG</w:t>
      </w:r>
      <w:r>
        <w:rPr>
          <w:rFonts w:ascii="Arial" w:hAnsi="Arial" w:eastAsia="Arial" w:cs="Arial"/>
          <w:b/>
          <w:bCs/>
          <w:color w:val="363A40"/>
          <w:sz w:val="28"/>
          <w:szCs w:val="28"/>
        </w:rPr>
        <w:t xml:space="preserve"> </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Rücktrittsrecht nach § 3a KSchG: In gewissen, bei
„face-to-face-Geschäften“ wohl grundsätzlich nicht vorliegenden
Fällen kann der Kunde als Verbraucher gem § 3a KSchG vom Vertrag
zurücktreten, wenn ohne seine Veranlassung für seine Einwilligung
maßgebliche Umstände, die der Unternehmer im Zuge der
Vertragsverhandlungen als wahrscheinlich dargestellt hat, nicht
oder nur in erheblich geringerem Ausmaß eintreten. Maßgebliche
Umstände sind ausschließlich die in § 3a Abs 2 KSchG und in diesen
AVB aufgezählten Umstände. Tritt der Kunde vom Vertrag zurück, so
gilt § 4 KSchG, wonach Zug um Zug – der Unternehmer alle
empfangenen Leistungen samt gesetzlichen Zinsen vom Empfangstag an
zurückzuerstatten und den vom Verbraucher auf die Sache gemachten
notwendigen und nützlichen Aufwand zu ersetzen hat, – der
Verbraucher die empfangenen Leistungen zurückzustellen und dem
Unternehmer ein angemessenes Entgelt für die Benützung,
einschließlich einer Entschädigung für eine damit verbundene
Minderung des gemeinen Wertes der Leistung, zu zahlen hat. Die
Übernahme der Leistungen in die Gewahrsame des Verbrauchers ist für
sich allein nicht als Wertminderung
anzusehen.</w:t>
      </w:r>
      <w:r>
        <w:rPr>
          <w:rFonts w:ascii="Arial" w:hAnsi="Arial" w:eastAsia="Arial" w:cs="Arial"/>
          <w:b/>
          <w:bCs/>
          <w:color w:val="777777"/>
          <w:sz w:val="18"/>
          <w:szCs w:val="18"/>
        </w:rPr>
        <w:t xml:space="preserve">)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kann vom Vertrag zurücktreten, wenn ohne seine
Veranlassung für seine Einwilligung maßgebliche Umstände, die der
Unternehmer im Zuge der Vertragsverhandlungen als wahrscheinlich
dargestellt hat, nicht oder nur in erheblich geringerem Ausmaß
eintreten.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Maßgebliche Umstände sind</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Erwartung der Mitwirkung oder Zustimmung eines Dritten, die
erforderlich ist, damit die Leistung der AA-GmbH erbracht oder vom
Kunden verwendet werden kann,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Aussicht auf steuerrechtliche Vorteile,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Aussicht auf eine öffentliche Förderung und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Aussicht auf einen Kredit.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Rücktritt kann binnen einer Woche erklärt werden. Die Frist
beginnt zu laufen, sobald für den Kunden erkennbar ist, dass die
genannten Umstände nicht oder nur in erheblich geringerem Ausmaß
eintreten und er eine schriftliche Belehrung über dieses
Rücktrittsrecht erhalten hat. Das Rücktrittsrecht erlischt jedoch
spätestens einen Monat nach der vollständigen Erfüllung des
Vertrags durch beide Vertragspartner.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Rücktrittsrecht steht dem Kunden nicht zu, wenn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 bereits bei den Vertragsverhandlungen wusste oder wissen
musste, dass die maßgeblichen Umstände nicht oder nur in erheblich
geringerem Ausmaß eintreten werden,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Ausschluss des Rücktrittsrechts im Einzelnen ausgehandelt
worden ist oder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AA-GmbH sich zu einer angemessenen Anpassung des Vertrags
bereit erklärt.</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Rücktrittserklärung gilt § 3 Abs 4 KSchG
sinngemäß, dh die Rücktrittserklärung ist an keine bestimmte Form
gebunden. Die Rücktrittsfrist ist gewahrt, wenn die
Rücktrittserklärung innerhalb der Frist abgesendet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Tritt der Kunde vom Vertrag zurück, so hat Zug um Zug</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AA-GmbH alle empfangenen Leistungen samt gesetzlichen Zinsen
vom Empfangstag an zurückzuerstatten und den vom Kunden auf die
Sache gemachten notwendigen und nützlichen Aufwand zu ersetzen,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Kunde die empfangenen Leistungen zurückzustellen und der
AA-GmbH ein angemessenes Entgelt für die Benützung, einschließlich
einer Entschädigung für eine damit verbundene Minderung des
gemeinen Wertes der Leistung, zu zahlen.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die Rückstellung der von der AA-GmbH bereits erbrachten
Leistungen unmöglich oder untunlich, so hat der Kunde der AA-GmbH
deren Wert zu vergüten, soweit sie ihm zum klaren und überwiegenden
Vorteil gereichen.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Schadenersatzansprüche bleiben davon unberührt.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Gewährleistung und Haftung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Gewährleistung richtet sich nach den gesetzlichen
Bestimmungen.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mangelhafte Lieferungen erhält der Kunde nach Wahl der
AA-GmbH eine Ersatzlieferung oder eine Gutschrift in der Höhe des
in Rechnung gestellten Kaufpreises.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diese AVB oder das zwingende Recht nicht etwas anderes
bestimmen, haftet die AA-GmbH nur für vorsätzliche oder grob
fahrlässig verursachte Schäden. Diese Haftungsbeschränkung gilt
nicht für Personenschäden oder für Schäden an zur Bearbeitung
übernommenen </w:t>
            </w:r>
            <w:r>
              <w:rPr>
                <w:rFonts w:ascii="Arial" w:hAnsi="Arial" w:eastAsia="Arial" w:cs="Arial"/>
                <w:color w:val="000000"/>
                <w:position w:val="0"/>
                <w:sz w:val="20"/>
                <w:szCs w:val="20"/>
                <w:shd w:val="clear" w:color="auto" w:fill="FFFFFF"/>
              </w:rPr>
              <w:t xml:space="preserve">Sachen.</w:t>
            </w:r>
            <w:r>
              <w:rPr>
                <w:rFonts w:ascii="Arial" w:hAnsi="Arial" w:eastAsia="Arial" w:cs="Arial"/>
                <w:color w:val="000000"/>
                <w:position w:val="0"/>
                <w:sz w:val="20"/>
                <w:szCs w:val="20"/>
                <w:shd w:val="clear" w:color="auto" w:fill="FFFFFF"/>
              </w:rPr>
              <w:t xml:space="preserve"> </w:t>
            </w:r>
            <w:r>
              <w:rPr>
                <w:rFonts w:ascii="Arial" w:hAnsi="Arial" w:eastAsia="Arial" w:cs="Arial"/>
                <w:color w:val="777777"/>
                <w:position w:val="0"/>
                <w:sz w:val="18"/>
                <w:szCs w:val="18"/>
                <w:shd w:val="clear" w:color="auto" w:fill="FFFFFF"/>
              </w:rPr>
              <w:t xml:space="preserve"> (</w:t>
            </w:r>
            <w:r>
              <w:rPr>
                <w:rFonts w:ascii="Arial" w:hAnsi="Arial" w:eastAsia="Arial" w:cs="Arial"/>
                <w:b/>
                <w:bCs/>
                <w:color w:val="777777"/>
                <w:position w:val="0"/>
                <w:sz w:val="18"/>
                <w:szCs w:val="18"/>
                <w:shd w:val="clear" w:color="auto" w:fill="FFFFFF"/>
              </w:rPr>
              <w:t xml:space="preserve">Fußnote: </w:t>
            </w:r>
            <w:r>
              <w:rPr>
                <w:rFonts w:ascii="Arial" w:hAnsi="Arial" w:eastAsia="Arial" w:cs="Arial"/>
                <w:color w:val="777777"/>
                <w:position w:val="0"/>
                <w:sz w:val="18"/>
                <w:szCs w:val="18"/>
                <w:shd w:val="clear" w:color="auto" w:fill="FFFFFF"/>
              </w:rPr>
              <w:t xml:space="preserve">Haftungsausschluss bei übernommenen Sachen bei Verbrauchern
(§ 6 Abs 2 Z 5 KSchG): Für den Verbraucher sind
Vertragsbestimmungen nicht verbindlich, nach denen eine Pflicht des
Unternehmers zum Ersatz eines Schadens an einer Sache, die er zur
Bearbeitung übernommen hat, ausgeschlossen oder beschränkt wird,
sofern der Unternehmer nicht beweisen kann, dass eine solche
Regelung im Einzelnen ausgehandelt worden ist. Zudem sind gem § 6
Abs 1 Z 9 KSchG Vertragsbestimmungen für Verbraucher nicht
verbindlich, nach denen eine Pflicht des Unternehmers zum Ersatz
eines Schadens an der Person ausgeschlossen oder eingeschränkt wird
oder eine Pflicht des Unternehmers zum Ersatz sonstiger Schäden für
den Fall ausgeschlossen oder eingeschränkt wird, dass er oder eine
Person, für die er einzustehen hat, den Schaden vorsätzlich oder
grob fahrlässig verschuldet hat (Haftungsfreizeichnungen). Nach der
Rechtsprechung ist auch der Ausschluss der Haftung für leichte
Fahrlässigkeit nicht generell zulässig. Unzulässig ist auch der
Ausschluss bestimmter Schadensarten (zB Folgeschäden, untypische
oder unvorhersehbare Schäden, andere mittelbare Schäden, Schäden
aus Verzögerungen) oder eine Begrenzung der Haftung bis zu einer
bestimmten Haftungssumme.</w:t>
            </w:r>
            <w:r>
              <w:rPr>
                <w:rFonts w:ascii="Arial" w:hAnsi="Arial" w:eastAsia="Arial" w:cs="Arial"/>
                <w:color w:val="777777"/>
                <w:position w:val="0"/>
                <w:sz w:val="18"/>
                <w:szCs w:val="18"/>
                <w:shd w:val="clear" w:color="auto" w:fill="FFFFFF"/>
              </w:rPr>
              <w:t xml:space="preserve">) </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Unabwendbare Ereignisse (höhere
Gewalt)</w:t>
      </w:r>
    </w:p>
    <w:p>
      <w:pPr>
        <w:widowControl w:val="on"/>
        <w:pBdr/>
        <w:spacing w:before="140" w:after="240" w:line="288" w:lineRule="auto"/>
        <w:ind w:left="0" w:right="0"/>
        <w:jc w:val="left"/>
      </w:pPr>
      <w:r>
        <w:rPr>
          <w:rFonts w:ascii="Arial" w:hAnsi="Arial" w:eastAsia="Arial" w:cs="Arial"/>
          <w:color w:val="000000"/>
          <w:sz w:val="20"/>
          <w:szCs w:val="20"/>
        </w:rPr>
        <w:t xml:space="preserve">Bei höherer Gewalt und anderen unverschuldeten Ereignissen, wie
zB Kriege, Streiks, Betriebsstörungen und amtliche Verfügungen,
ruhen die Liefer- und Abnahmeverpflichtungen, solange und soweit
solche Hindernisse bestehen.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Erfüllungsgehilfen</w:t>
      </w:r>
    </w:p>
    <w:p>
      <w:pPr>
        <w:widowControl w:val="on"/>
        <w:pBdr/>
        <w:spacing w:before="140" w:after="240" w:line="288" w:lineRule="auto"/>
        <w:ind w:left="0" w:right="0"/>
        <w:jc w:val="left"/>
      </w:pPr>
      <w:r>
        <w:rPr>
          <w:rFonts w:ascii="Arial" w:hAnsi="Arial" w:eastAsia="Arial" w:cs="Arial"/>
          <w:color w:val="000000"/>
          <w:sz w:val="20"/>
          <w:szCs w:val="20"/>
        </w:rPr>
        <w:t xml:space="preserve">Die AA-GmbH darf sich für ihre Lieferverpflichtungen auch
Dritter bedienen, ohne dass dadurch die Rechte und Pflichten des
Kunden gegenüber der AA-GmbH berührt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Datenschutz</w:t>
      </w:r>
    </w:p>
    <w:p>
      <w:pPr>
        <w:widowControl w:val="on"/>
        <w:pBdr/>
        <w:spacing w:before="140" w:after="240" w:line="288" w:lineRule="auto"/>
        <w:ind w:left="0" w:right="0"/>
        <w:jc w:val="left"/>
      </w:pPr>
      <w:r>
        <w:rPr>
          <w:rFonts w:ascii="Arial" w:hAnsi="Arial" w:eastAsia="Arial" w:cs="Arial"/>
          <w:color w:val="000000"/>
          <w:sz w:val="20"/>
          <w:szCs w:val="20"/>
        </w:rPr>
        <w:t xml:space="preserve">Der Kunde erteilt seine Zustimmung, dass die in den mit der
AA-GmbH geschlossenen Verträgen enthaltenen personenbezogenen Daten
für die Vertragserfüllung von der AA-GmbH automationsunterstützt
gespeichert und verarbeitet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Anwendbares Recht
(Rechtswahl)</w:t>
      </w:r>
    </w:p>
    <w:p>
      <w:pPr>
        <w:widowControl w:val="on"/>
        <w:pBdr/>
        <w:spacing w:before="140" w:after="240" w:line="288" w:lineRule="auto"/>
        <w:ind w:left="0" w:right="0"/>
        <w:jc w:val="left"/>
      </w:pPr>
      <w:r>
        <w:rPr>
          <w:rFonts w:ascii="Arial" w:hAnsi="Arial" w:eastAsia="Arial" w:cs="Arial"/>
          <w:color w:val="000000"/>
          <w:sz w:val="20"/>
          <w:szCs w:val="20"/>
        </w:rPr>
        <w:t xml:space="preserve">Sämtliche Rechtsbeziehungen zwischen der AA-GmbH und dem Kunden
unterliegen österreichischem Recht. Die Anwendung des
internationalen Privatrechts (wie zB IPRG, Rom I-VO, etc) und des
UN-Kaufrechts wird ausdrücklich ausgeschlossen. Diese Rechtswahl
gilt nur insoweit, als dadurch keine zwingenden gesetzlichen
Bestimmungen des Staates, in dem der Kunde als Verbraucher seinen
Wohnsitz oder gewöhnlichen Aufenthalt hat, eingeschränkt
werden.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15632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563727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77112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820561">
    <w:multiLevelType w:val="hybridMultilevel"/>
    <w:lvl w:ilvl="0" w:tplc="86863233">
      <w:start w:val="1"/>
      <w:numFmt w:val="decimal"/>
      <w:lvlText w:val="%1."/>
      <w:lvlJc w:val="left"/>
      <w:pPr>
        <w:ind w:left="720" w:hanging="360"/>
      </w:pPr>
    </w:lvl>
    <w:lvl w:ilvl="1" w:tplc="86863233" w:tentative="1">
      <w:start w:val="1"/>
      <w:numFmt w:val="lowerLetter"/>
      <w:lvlText w:val="%2."/>
      <w:lvlJc w:val="left"/>
      <w:pPr>
        <w:ind w:left="1440" w:hanging="360"/>
      </w:pPr>
    </w:lvl>
    <w:lvl w:ilvl="2" w:tplc="86863233" w:tentative="1">
      <w:start w:val="1"/>
      <w:numFmt w:val="lowerRoman"/>
      <w:lvlText w:val="%3."/>
      <w:lvlJc w:val="right"/>
      <w:pPr>
        <w:ind w:left="2160" w:hanging="180"/>
      </w:pPr>
    </w:lvl>
    <w:lvl w:ilvl="3" w:tplc="86863233" w:tentative="1">
      <w:start w:val="1"/>
      <w:numFmt w:val="decimal"/>
      <w:lvlText w:val="%4."/>
      <w:lvlJc w:val="left"/>
      <w:pPr>
        <w:ind w:left="2880" w:hanging="360"/>
      </w:pPr>
    </w:lvl>
    <w:lvl w:ilvl="4" w:tplc="86863233" w:tentative="1">
      <w:start w:val="1"/>
      <w:numFmt w:val="lowerLetter"/>
      <w:lvlText w:val="%5."/>
      <w:lvlJc w:val="left"/>
      <w:pPr>
        <w:ind w:left="3600" w:hanging="360"/>
      </w:pPr>
    </w:lvl>
    <w:lvl w:ilvl="5" w:tplc="86863233" w:tentative="1">
      <w:start w:val="1"/>
      <w:numFmt w:val="lowerRoman"/>
      <w:lvlText w:val="%6."/>
      <w:lvlJc w:val="right"/>
      <w:pPr>
        <w:ind w:left="4320" w:hanging="180"/>
      </w:pPr>
    </w:lvl>
    <w:lvl w:ilvl="6" w:tplc="86863233" w:tentative="1">
      <w:start w:val="1"/>
      <w:numFmt w:val="decimal"/>
      <w:lvlText w:val="%7."/>
      <w:lvlJc w:val="left"/>
      <w:pPr>
        <w:ind w:left="5040" w:hanging="360"/>
      </w:pPr>
    </w:lvl>
    <w:lvl w:ilvl="7" w:tplc="86863233" w:tentative="1">
      <w:start w:val="1"/>
      <w:numFmt w:val="lowerLetter"/>
      <w:lvlText w:val="%8."/>
      <w:lvlJc w:val="left"/>
      <w:pPr>
        <w:ind w:left="5760" w:hanging="360"/>
      </w:pPr>
    </w:lvl>
    <w:lvl w:ilvl="8" w:tplc="86863233" w:tentative="1">
      <w:start w:val="1"/>
      <w:numFmt w:val="lowerRoman"/>
      <w:lvlText w:val="%9."/>
      <w:lvlJc w:val="right"/>
      <w:pPr>
        <w:ind w:left="6480" w:hanging="180"/>
      </w:pPr>
    </w:lvl>
  </w:abstractNum>
  <w:abstractNum w:abstractNumId="34820560">
    <w:multiLevelType w:val="hybridMultilevel"/>
    <w:lvl w:ilvl="0" w:tplc="65288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20560">
    <w:abstractNumId w:val="34820560"/>
  </w:num>
  <w:num w:numId="34820561">
    <w:abstractNumId w:val="34820561"/>
  </w:num>
  <w:num w:numId="667711252">
    <w:abstractNumId w:val="667711252"/>
  </w:num>
  <w:num w:numId="615637276">
    <w:abstractNumId w:val="615637276"/>
  </w:num>
  <w:num w:numId="723156321">
    <w:abstractNumId w:val="723156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77795645" Type="http://schemas.openxmlformats.org/officeDocument/2006/relationships/numbering" Target="numbering.xml"/><Relationship Id="rId63886931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