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2045958" w:name="document"/>
    <w:bookmarkEnd w:id="32045958"/>
    <w:p/>
    <w:p>
      <w:pPr>
        <w:widowControl w:val="on"/>
        <w:pBdr/>
        <w:spacing w:before="0" w:after="280" w:line="240" w:lineRule="auto"/>
        <w:ind w:left="0" w:right="0"/>
        <w:jc w:val="left"/>
      </w:pPr>
      <w:r>
        <w:rPr>
          <w:rFonts w:ascii="Arial" w:hAnsi="Arial" w:eastAsia="Arial" w:cs="Arial"/>
          <w:color w:val="363A40"/>
          <w:sz w:val="24"/>
          <w:szCs w:val="24"/>
        </w:rPr>
        <w:t xml:space="preserve">Dokument-ID: 1128248 | Sylvia Unger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Elektroauto als Firmenwagen mit Privatnutzung</w:t>
      </w:r>
    </w:p>
    <w:p>
      <w:pPr>
        <w:widowControl w:val="on"/>
        <w:pBdr/>
        <w:spacing w:before="140" w:after="240" w:line="288" w:lineRule="auto"/>
        <w:ind w:left="0" w:right="0"/>
        <w:jc w:val="left"/>
      </w:pPr>
      <w:r>
        <w:rPr>
          <w:rFonts w:ascii="Arial" w:hAnsi="Arial" w:eastAsia="Arial" w:cs="Arial"/>
          <w:color w:val="000000"/>
          <w:sz w:val="20"/>
          <w:szCs w:val="20"/>
        </w:rPr>
        <w:t xml:space="preserve">In Ergänzung zum bestehenden Dienstvertrag wird zwischen</w:t>
      </w:r>
    </w:p>
    <w:p>
      <w:pPr>
        <w:widowControl w:val="on"/>
        <w:pBdr/>
        <w:spacing w:before="140" w:after="240" w:line="288" w:lineRule="auto"/>
        <w:ind w:left="0" w:right="0"/>
        <w:jc w:val="left"/>
      </w:pPr>
      <w:r>
        <w:rPr>
          <w:rFonts w:ascii="Arial" w:hAnsi="Arial" w:eastAsia="Arial" w:cs="Arial"/>
          <w:b/>
          <w:bCs/>
          <w:color w:val="000000"/>
          <w:sz w:val="20"/>
          <w:szCs w:val="20"/>
        </w:rPr>
        <w:t xml:space="preserve">Dienstnehmer</w:t>
      </w:r>
      <w:r>
        <w:rPr>
          <w:rFonts w:ascii="Arial" w:hAnsi="Arial" w:eastAsia="Arial" w:cs="Arial"/>
          <w:color w:val="000000"/>
          <w:sz w:val="20"/>
          <w:szCs w:val="20"/>
        </w:rPr>
        <w:br/>
        <w:t xml:space="preserve">Vor- und Zuname: …</w:t>
      </w:r>
      <w:r>
        <w:rPr>
          <w:rFonts w:ascii="Arial" w:hAnsi="Arial" w:eastAsia="Arial" w:cs="Arial"/>
          <w:color w:val="000000"/>
          <w:sz w:val="20"/>
          <w:szCs w:val="20"/>
        </w:rPr>
        <w:br/>
        <w:t xml:space="preserve">wohnhaft in: …</w:t>
      </w:r>
      <w:r>
        <w:rPr>
          <w:rFonts w:ascii="Arial" w:hAnsi="Arial" w:eastAsia="Arial" w:cs="Arial"/>
          <w:color w:val="000000"/>
          <w:sz w:val="20"/>
          <w:szCs w:val="20"/>
        </w:rPr>
        <w:br/>
        <w:t xml:space="preserve">geboren am: …</w:t>
      </w:r>
      <w:r>
        <w:rPr>
          <w:rFonts w:ascii="Arial" w:hAnsi="Arial" w:eastAsia="Arial" w:cs="Arial"/>
          <w:color w:val="000000"/>
          <w:sz w:val="20"/>
          <w:szCs w:val="20"/>
        </w:rPr>
        <w:br/>
        <w:t xml:space="preserve">Sozialversicherungsnummer: …</w:t>
      </w:r>
      <w:r>
        <w:rPr>
          <w:rFonts w:ascii="Arial" w:hAnsi="Arial" w:eastAsia="Arial" w:cs="Arial"/>
          <w:color w:val="000000"/>
          <w:sz w:val="20"/>
          <w:szCs w:val="20"/>
        </w:rPr>
        <w:br/>
        <w:t xml:space="preserve">im Folgenden „Dienstnehmer“</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b/>
          <w:bCs/>
          <w:color w:val="000000"/>
          <w:sz w:val="20"/>
          <w:szCs w:val="20"/>
        </w:rPr>
        <w:t xml:space="preserve">Dienstgeber</w:t>
      </w:r>
      <w:r>
        <w:rPr>
          <w:rFonts w:ascii="Arial" w:hAnsi="Arial" w:eastAsia="Arial" w:cs="Arial"/>
          <w:color w:val="000000"/>
          <w:sz w:val="20"/>
          <w:szCs w:val="20"/>
        </w:rPr>
        <w:br/>
        <w:t xml:space="preserve">Firma: …</w:t>
      </w:r>
      <w:r>
        <w:rPr>
          <w:rFonts w:ascii="Arial" w:hAnsi="Arial" w:eastAsia="Arial" w:cs="Arial"/>
          <w:color w:val="000000"/>
          <w:sz w:val="20"/>
          <w:szCs w:val="20"/>
        </w:rPr>
        <w:br/>
        <w:t xml:space="preserve">Firmenbuchnummer: …</w:t>
      </w:r>
      <w:r>
        <w:rPr>
          <w:rFonts w:ascii="Arial" w:hAnsi="Arial" w:eastAsia="Arial" w:cs="Arial"/>
          <w:color w:val="000000"/>
          <w:sz w:val="20"/>
          <w:szCs w:val="20"/>
        </w:rPr>
        <w:br/>
        <w:t xml:space="preserve">Anschrift: …</w:t>
      </w:r>
      <w:r>
        <w:rPr>
          <w:rFonts w:ascii="Arial" w:hAnsi="Arial" w:eastAsia="Arial" w:cs="Arial"/>
          <w:color w:val="000000"/>
          <w:sz w:val="20"/>
          <w:szCs w:val="20"/>
        </w:rPr>
        <w:br/>
        <w:t xml:space="preserve">im Folgenden „Dienstgeber“</w:t>
      </w:r>
    </w:p>
    <w:p>
      <w:pPr>
        <w:widowControl w:val="on"/>
        <w:pBdr/>
        <w:spacing w:before="140" w:after="240" w:line="288" w:lineRule="auto"/>
        <w:ind w:left="0" w:right="0"/>
        <w:jc w:val="left"/>
      </w:pPr>
      <w:r>
        <w:rPr>
          <w:rFonts w:ascii="Arial" w:hAnsi="Arial" w:eastAsia="Arial" w:cs="Arial"/>
          <w:color w:val="000000"/>
          <w:sz w:val="20"/>
          <w:szCs w:val="20"/>
        </w:rPr>
        <w:t xml:space="preserve">folgende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Vereinbarung über ein Elektroauto
als Dienstwagen</w:t>
      </w:r>
    </w:p>
    <w:p>
      <w:pPr>
        <w:widowControl w:val="on"/>
        <w:pBdr/>
        <w:spacing w:before="140" w:after="240" w:line="288" w:lineRule="auto"/>
        <w:ind w:left="0" w:right="0"/>
        <w:jc w:val="left"/>
      </w:pPr>
      <w:r>
        <w:rPr>
          <w:rFonts w:ascii="Arial" w:hAnsi="Arial" w:eastAsia="Arial" w:cs="Arial"/>
          <w:color w:val="000000"/>
          <w:sz w:val="20"/>
          <w:szCs w:val="20"/>
        </w:rPr>
        <w:t xml:space="preserve">getroffen: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 Dienstwagen und
</w:t>
      </w:r>
      <w:r>
        <w:rPr>
          <w:rFonts w:ascii="Arial" w:hAnsi="Arial" w:eastAsia="Arial" w:cs="Arial"/>
          <w:b/>
          <w:bCs/>
          <w:color w:val="363A40"/>
          <w:sz w:val="28"/>
          <w:szCs w:val="28"/>
        </w:rPr>
        <w:t xml:space="preserve">Ausstattung</w:t>
      </w:r>
      <w:bookmarkStart w:id="18653476" w:name="link1"/>
      <w:bookmarkEnd w:id="18653476"/>
      <w:hyperlink w:anchor="note1" w:history="1">
        <w:r>
          <w:rPr>
            <w:rFonts w:ascii="Arial" w:hAnsi="Arial" w:eastAsia="Arial" w:cs="Arial"/>
            <w:b/>
            <w:bCs/>
            <w:color w:val="006BB6"/>
            <w:position w:val="6"/>
            <w:sz w:val="31"/>
            <w:szCs w:val="31"/>
            <w:vertAlign w:val="superscript"/>
          </w:rPr>
          <w:t xml:space="preserve">1</w:t>
        </w:r>
      </w:hyperlink>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Dienstgeber stellt dem Dienstnehmer ab … [Datum] ein
Elektroauto als Dienstwagen der Marke X, Modell X … [Angaben zur
Marke und zum genauen Modell des Elektroautos], mit normaler
Ausstattung, zur Verfügung. Die maximalen Anschaffungskosten,
inklusive Ausstattungen, übersteigen nicht den Betrag von
EUR 40.000,– (inkl USt, ggf NoVA und sonstigen Steuern und
Abgaben).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Wünscht der Dienstnehmer eine Sonderausstattung, hat er die
Kosten dafür selbst zu tragen. Der Dienstgeber übernimmt lediglich
die Kosten für Sonderausstattungen bis zur maximalen Höhe der
Anschaffungskosten gem § 1.1. Dies gilt auch für allfällige
Nachrüstungen. Nachrüstungen bedürfen stets der Genehmigung des
Dienstgebers vorab.</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Sämtliche Sonderausstattungen (auch nachträgliche bei
Nachrüstungen) werden Eigentum des Dienstgebers. Vom Dienstnehmer
getragene Kosten für Sonderausstattungen (Nachrüstungen) erstattet
der Dienstgeber dem Dienstnehmer bei Beendigung des
Dienstverhältnisses abzüglich der Wertminderung durch Abnutzung,
Alter und Zustand (Zeitwert). Davon ausgenommen ist, wenn der
Dienstwagen durch einen zwischen dem Dienstgeber und dem
Dienstnehmer abgeschlossenen Vertrag in das Eigentum des
Dienstnehmers </w:t>
            </w:r>
            <w:r>
              <w:rPr>
                <w:rFonts w:ascii="Arial" w:hAnsi="Arial" w:eastAsia="Arial" w:cs="Arial"/>
                <w:color w:val="000000"/>
                <w:position w:val="0"/>
                <w:sz w:val="20"/>
                <w:szCs w:val="20"/>
                <w:shd w:val="clear" w:color="auto" w:fill="FFFFFF"/>
              </w:rPr>
              <w:t xml:space="preserve">übergeht.</w:t>
            </w:r>
            <w:bookmarkStart w:id="53877134" w:name="link2"/>
            <w:bookmarkEnd w:id="53877134"/>
            <w:hyperlink w:anchor="note2" w:history="1">
              <w:r>
                <w:rPr>
                  <w:rFonts w:ascii="Arial" w:hAnsi="Arial" w:eastAsia="Arial" w:cs="Arial"/>
                  <w:b/>
                  <w:bCs/>
                  <w:color w:val="006BB6"/>
                  <w:position w:val="4"/>
                  <w:sz w:val="22"/>
                  <w:szCs w:val="22"/>
                  <w:shd w:val="clear" w:color="auto" w:fill="FFFFFF"/>
                  <w:vertAlign w:val="superscript"/>
                </w:rPr>
                <w:t xml:space="preserve">2</w:t>
              </w:r>
            </w:hyperlink>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 Nutzung des </w:t>
      </w:r>
      <w:r>
        <w:rPr>
          <w:rFonts w:ascii="Arial" w:hAnsi="Arial" w:eastAsia="Arial" w:cs="Arial"/>
          <w:b/>
          <w:bCs/>
          <w:color w:val="363A40"/>
          <w:sz w:val="28"/>
          <w:szCs w:val="28"/>
        </w:rPr>
        <w:t xml:space="preserve">Dienstwagens</w:t>
      </w:r>
      <w:bookmarkStart w:id="30315894" w:name="link3"/>
      <w:bookmarkEnd w:id="30315894"/>
      <w:hyperlink w:anchor="note3" w:history="1">
        <w:r>
          <w:rPr>
            <w:rFonts w:ascii="Arial" w:hAnsi="Arial" w:eastAsia="Arial" w:cs="Arial"/>
            <w:b/>
            <w:bCs/>
            <w:color w:val="006BB6"/>
            <w:position w:val="6"/>
            <w:sz w:val="31"/>
            <w:szCs w:val="31"/>
            <w:vertAlign w:val="superscript"/>
          </w:rPr>
          <w:t xml:space="preserve">3</w:t>
        </w:r>
      </w:hyperlink>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Dienstwagen dient der Erfüllung der vereinbarten
Arbeitspflichten des Dienstnehmers aus dem Dienstverhältnis
(betriebliche Fahrten). Als betriebliche Fahrten gelten alle
Fahrten, die der Dienstnehmer in Verrichtung von
Arbeitsverpflichtungen unternimmt.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Dienstgeber gestattet dem Dienstnehmer weiters gemäß dieser
Vereinbarung die Nutzung des Dienstwagens auch für private Zwecke
(private Fahrten). Als private Fahrten gelten alle Fahrten, die
nicht Betriebsfahrten sind. Fahrten zwischen dem Wohnort des
Dienstnehmers und seinem Arbeitsort gelten steuerlich als
Privatfahrten.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die private Nutzung des Dienstwagens durch den Dienstnehmer
wird gemäß den gesetzlichen Bestimmungen ein Sachbezug
angesetzt.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Dienstnehmer ist ausschließlich berechtigt, den Dienstwagen
für betriebliche und private Fahrten nur</w:t>
            </w:r>
          </w:p>
          <w:p>
            <w:pPr>
              <w:numPr>
                <w:ilvl w:val="0"/>
                <w:numId w:val="436449096"/>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bis zu einem Kilometerstand von </w:t>
            </w:r>
            <w:r>
              <w:rPr>
                <w:rFonts w:ascii="Arial" w:hAnsi="Arial" w:eastAsia="Arial" w:cs="Arial"/>
                <w:i/>
                <w:iCs/>
                <w:color w:val="000000"/>
                <w:position w:val="0"/>
                <w:sz w:val="19"/>
                <w:szCs w:val="19"/>
                <w:shd w:val="clear" w:color="auto" w:fill="FFFFFF"/>
              </w:rPr>
              <w:t xml:space="preserve">…</w:t>
            </w:r>
            <w:r>
              <w:rPr>
                <w:rFonts w:ascii="Arial" w:hAnsi="Arial" w:eastAsia="Arial" w:cs="Arial"/>
                <w:color w:val="000000"/>
                <w:position w:val="0"/>
                <w:sz w:val="19"/>
                <w:szCs w:val="19"/>
                <w:shd w:val="clear" w:color="auto" w:fill="FFFFFF"/>
              </w:rPr>
              <w:t xml:space="preserve"> km pro Jahr zu
nutzen,</w:t>
            </w:r>
          </w:p>
          <w:p>
            <w:pPr>
              <w:numPr>
                <w:ilvl w:val="0"/>
                <w:numId w:val="436449096"/>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innerhalb Österreichs/… [</w:t>
            </w:r>
            <w:r>
              <w:rPr>
                <w:rFonts w:ascii="Arial" w:hAnsi="Arial" w:eastAsia="Arial" w:cs="Arial"/>
                <w:b/>
                <w:bCs/>
                <w:color w:val="000000"/>
                <w:position w:val="0"/>
                <w:sz w:val="19"/>
                <w:szCs w:val="19"/>
                <w:shd w:val="clear" w:color="auto" w:fill="FFFFFF"/>
              </w:rPr>
              <w:t xml:space="preserve">Variante:</w:t>
            </w:r>
            <w:r>
              <w:rPr>
                <w:rFonts w:ascii="Arial" w:hAnsi="Arial" w:eastAsia="Arial" w:cs="Arial"/>
                <w:color w:val="000000"/>
                <w:position w:val="0"/>
                <w:sz w:val="19"/>
                <w:szCs w:val="19"/>
                <w:shd w:val="clear" w:color="auto" w:fill="FFFFFF"/>
              </w:rPr>
              <w:t xml:space="preserve"> innerhalb
Österreichs, der Europäischen Union und der Schweiz] zu
nutzen.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Fahrten mit dem Dienstwagen darüber hinaus sind verboten.
Allfällige Kosten durch eine allfällige Überschreitung hat der
Dienstnehmer zu tragen.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Dienstwagen darf nicht an Dritte überlassen werden.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r>
              <w:rPr>
                <w:rFonts w:ascii="Arial" w:hAnsi="Arial" w:eastAsia="Arial" w:cs="Arial"/>
                <w:b/>
                <w:bCs/>
                <w:color w:val="000000"/>
                <w:position w:val="0"/>
                <w:sz w:val="20"/>
                <w:szCs w:val="20"/>
                <w:shd w:val="clear" w:color="auto" w:fill="FFFFFF"/>
              </w:rPr>
              <w:t xml:space="preserve">Variante:</w:t>
            </w:r>
            <w:r>
              <w:rPr>
                <w:rFonts w:ascii="Arial" w:hAnsi="Arial" w:eastAsia="Arial" w:cs="Arial"/>
                <w:color w:val="000000"/>
                <w:position w:val="0"/>
                <w:sz w:val="20"/>
                <w:szCs w:val="20"/>
                <w:shd w:val="clear" w:color="auto" w:fill="FFFFFF"/>
              </w:rPr>
              <w:t xml:space="preserve"> Davon ausgenommen sind:</w:t>
            </w:r>
          </w:p>
          <w:p>
            <w:pPr>
              <w:numPr>
                <w:ilvl w:val="0"/>
                <w:numId w:val="975367229"/>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Engste Familienangehörige sowie der Lebenspartner, die/der mit
dem Dienstnehmer im gemeinsamen Haushalt lebt</w:t>
            </w:r>
          </w:p>
          <w:p>
            <w:pPr>
              <w:numPr>
                <w:ilvl w:val="0"/>
                <w:numId w:val="975367229"/>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Mitarbeiter der Vertragswerkstätte bei Service und
Reparatur</w:t>
            </w:r>
          </w:p>
          <w:p>
            <w:pPr>
              <w:numPr>
                <w:ilvl w:val="0"/>
                <w:numId w:val="975367229"/>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Mitreisende bei Dienstreisen</w:t>
            </w:r>
          </w:p>
          <w:p>
            <w:pPr>
              <w:numPr>
                <w:ilvl w:val="0"/>
                <w:numId w:val="975367229"/>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Mitreisende bei Privatreisen]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Dienstwagen darf nur mit gültiger Fahrerlaubnis
(Führerschein) und ohne Einfluss von Drogen oder Alkohol genutzt
werden. Es sind die gültigen Straßenverkehrsvorschriften bei
Nutzung des Dienstwagens einzuhalten. Der Dienstnehmer hat dafür zu
sorgen, dass der Dienstwagen in einem betriebs- und
verkehrssicheren Zustand (zB Beleuchtung, Reifen etc) gehalten
wird. Er ist verantwortlich, dass der Dienstwagen regelmäßig
(Service) und bei Bedarf (Reparatur) gewartet wird. Wartungen
(Service, Reparatur) sind nur durch eine der Vertragswerkstätten
durchführen zu lassen.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Dienstwagen ist sachgemäß und schonend zu nutzen.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r>
              <w:rPr>
                <w:rFonts w:ascii="Arial" w:hAnsi="Arial" w:eastAsia="Arial" w:cs="Arial"/>
                <w:b/>
                <w:bCs/>
                <w:color w:val="000000"/>
                <w:position w:val="0"/>
                <w:sz w:val="20"/>
                <w:szCs w:val="20"/>
                <w:shd w:val="clear" w:color="auto" w:fill="FFFFFF"/>
              </w:rPr>
              <w:t xml:space="preserve">Variante</w:t>
            </w:r>
            <w:r>
              <w:rPr>
                <w:rFonts w:ascii="Arial" w:hAnsi="Arial" w:eastAsia="Arial" w:cs="Arial"/>
                <w:b/>
                <w:bCs/>
                <w:color w:val="000000"/>
                <w:position w:val="0"/>
                <w:sz w:val="20"/>
                <w:szCs w:val="20"/>
                <w:shd w:val="clear" w:color="auto" w:fill="FFFFFF"/>
              </w:rPr>
              <w:t xml:space="preserve">:</w:t>
            </w:r>
            <w:r>
              <w:rPr>
                <w:rFonts w:ascii="Arial" w:hAnsi="Arial" w:eastAsia="Arial" w:cs="Arial"/>
                <w:color w:val="000000"/>
                <w:position w:val="0"/>
                <w:sz w:val="20"/>
                <w:szCs w:val="20"/>
                <w:shd w:val="clear" w:color="auto" w:fill="FFFFFF"/>
              </w:rPr>
              <w:t xml:space="preserve"> Zur Nutzung des
Dienstwagens gilt weiters die </w:t>
            </w:r>
            <w:r>
              <w:rPr>
                <w:rFonts w:ascii="Arial" w:hAnsi="Arial" w:eastAsia="Arial" w:cs="Arial"/>
                <w:b/>
                <w:bCs/>
                <w:color w:val="000000"/>
                <w:position w:val="0"/>
                <w:sz w:val="20"/>
                <w:szCs w:val="20"/>
                <w:shd w:val="clear" w:color="auto" w:fill="FFFFFF"/>
              </w:rPr>
              <w:t xml:space="preserve">Car Policy</w:t>
            </w:r>
            <w:r>
              <w:rPr>
                <w:rFonts w:ascii="Arial" w:hAnsi="Arial" w:eastAsia="Arial" w:cs="Arial"/>
                <w:color w:val="000000"/>
                <w:position w:val="0"/>
                <w:sz w:val="20"/>
                <w:szCs w:val="20"/>
                <w:shd w:val="clear" w:color="auto" w:fill="FFFFFF"/>
              </w:rPr>
              <w:t xml:space="preserve"> des
Dienstgebers, die als Beilage diesem Vertrag angeschlossen ist. Der
Dienstnehmer ist verpflichtet, diese </w:t>
            </w:r>
            <w:r>
              <w:rPr>
                <w:rFonts w:ascii="Arial" w:hAnsi="Arial" w:eastAsia="Arial" w:cs="Arial"/>
                <w:color w:val="000000"/>
                <w:position w:val="0"/>
                <w:sz w:val="20"/>
                <w:szCs w:val="20"/>
                <w:shd w:val="clear" w:color="auto" w:fill="FFFFFF"/>
              </w:rPr>
              <w:t xml:space="preserve">einzuhalten.]</w:t>
            </w:r>
            <w:bookmarkStart w:id="34676574" w:name="link4"/>
            <w:bookmarkEnd w:id="34676574"/>
            <w:hyperlink w:anchor="note4" w:history="1">
              <w:r>
                <w:rPr>
                  <w:rFonts w:ascii="Arial" w:hAnsi="Arial" w:eastAsia="Arial" w:cs="Arial"/>
                  <w:b/>
                  <w:bCs/>
                  <w:color w:val="006BB6"/>
                  <w:position w:val="4"/>
                  <w:sz w:val="22"/>
                  <w:szCs w:val="22"/>
                  <w:shd w:val="clear" w:color="auto" w:fill="FFFFFF"/>
                  <w:vertAlign w:val="superscript"/>
                </w:rPr>
                <w:t xml:space="preserve">4</w:t>
              </w:r>
            </w:hyperlink>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Dienstnehmer hat einen Diebstahl, Schaden oder eine
Beschädigung dem Dienstgeber sofort zu melden. Ebenso ist ein
Unfall dem Dienstgeber unverzüglich zu melden. Bei einem Unfall mit
dem Dienstwagen hat der Dienstnehmer einen Unfallbericht
auszufüllen, die Daten der Unfallbeteiligten festzustellen und bei
polizeilichen Ermittlungen mitzuwirken.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2.10</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Dienstnehmer ist verpflichtet, Geldstrafen im Zusammenhang
mit der Nutzung des Dienstwagens selbst zu tragen.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 Betriebskosten,
</w:t>
      </w:r>
      <w:r>
        <w:rPr>
          <w:rFonts w:ascii="Arial" w:hAnsi="Arial" w:eastAsia="Arial" w:cs="Arial"/>
          <w:b/>
          <w:bCs/>
          <w:color w:val="363A40"/>
          <w:sz w:val="28"/>
          <w:szCs w:val="28"/>
        </w:rPr>
        <w:t xml:space="preserve">Kostentragung</w:t>
      </w:r>
      <w:bookmarkStart w:id="20333265" w:name="link5"/>
      <w:bookmarkEnd w:id="20333265"/>
      <w:hyperlink w:anchor="note5" w:history="1">
        <w:r>
          <w:rPr>
            <w:rFonts w:ascii="Arial" w:hAnsi="Arial" w:eastAsia="Arial" w:cs="Arial"/>
            <w:b/>
            <w:bCs/>
            <w:color w:val="006BB6"/>
            <w:position w:val="6"/>
            <w:sz w:val="31"/>
            <w:szCs w:val="31"/>
            <w:vertAlign w:val="superscript"/>
          </w:rPr>
          <w:t xml:space="preserve">5</w:t>
        </w:r>
      </w:hyperlink>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r>
              <w:rPr>
                <w:rFonts w:ascii="Arial" w:hAnsi="Arial" w:eastAsia="Arial" w:cs="Arial"/>
                <w:b/>
                <w:bCs/>
                <w:color w:val="000000"/>
                <w:position w:val="0"/>
                <w:sz w:val="20"/>
                <w:szCs w:val="20"/>
                <w:shd w:val="clear" w:color="auto" w:fill="FFFFFF"/>
              </w:rPr>
              <w:t xml:space="preserve">Variante 1:</w:t>
            </w:r>
            <w:r>
              <w:rPr>
                <w:rFonts w:ascii="Arial" w:hAnsi="Arial" w:eastAsia="Arial" w:cs="Arial"/>
                <w:color w:val="000000"/>
                <w:position w:val="0"/>
                <w:sz w:val="20"/>
                <w:szCs w:val="20"/>
                <w:shd w:val="clear" w:color="auto" w:fill="FFFFFF"/>
              </w:rPr>
              <w:t xml:space="preserve"> Die </w:t>
            </w:r>
            <w:r>
              <w:rPr>
                <w:rFonts w:ascii="Arial" w:hAnsi="Arial" w:eastAsia="Arial" w:cs="Arial"/>
                <w:b/>
                <w:bCs/>
                <w:color w:val="000000"/>
                <w:position w:val="0"/>
                <w:sz w:val="20"/>
                <w:szCs w:val="20"/>
                <w:shd w:val="clear" w:color="auto" w:fill="FFFFFF"/>
              </w:rPr>
              <w:t xml:space="preserve">Car Policy</w:t>
            </w:r>
            <w:r>
              <w:rPr>
                <w:rFonts w:ascii="Arial" w:hAnsi="Arial" w:eastAsia="Arial" w:cs="Arial"/>
                <w:color w:val="000000"/>
                <w:position w:val="0"/>
                <w:sz w:val="20"/>
                <w:szCs w:val="20"/>
                <w:shd w:val="clear" w:color="auto" w:fill="FFFFFF"/>
              </w:rPr>
              <w:t xml:space="preserve">
regelt die Kostentragung der Betriebskosten des Dienstwagens
zwischen Dienstgeber und Dienstnehmer.]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r>
              <w:rPr>
                <w:rFonts w:ascii="Arial" w:hAnsi="Arial" w:eastAsia="Arial" w:cs="Arial"/>
                <w:b/>
                <w:bCs/>
                <w:color w:val="000000"/>
                <w:position w:val="0"/>
                <w:sz w:val="20"/>
                <w:szCs w:val="20"/>
                <w:shd w:val="clear" w:color="auto" w:fill="FFFFFF"/>
              </w:rPr>
              <w:t xml:space="preserve">Variante 2:</w:t>
            </w:r>
            <w:r>
              <w:rPr>
                <w:rFonts w:ascii="Arial" w:hAnsi="Arial" w:eastAsia="Arial" w:cs="Arial"/>
                <w:color w:val="000000"/>
                <w:position w:val="0"/>
                <w:sz w:val="20"/>
                <w:szCs w:val="20"/>
                <w:shd w:val="clear" w:color="auto" w:fill="FFFFFF"/>
              </w:rPr>
              <w:t xml:space="preserve"> Der Dienstgeber trägt die
folgenden mit dem Dienstwagen verbundenen Kosten:</w:t>
            </w:r>
          </w:p>
          <w:p>
            <w:pPr>
              <w:numPr>
                <w:ilvl w:val="0"/>
                <w:numId w:val="211012227"/>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Kosten für das Aufladen mit elektrischer Energie (Strom) am
Unternehmensstandort</w:t>
            </w:r>
          </w:p>
          <w:p>
            <w:pPr>
              <w:numPr>
                <w:ilvl w:val="0"/>
                <w:numId w:val="211012227"/>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Kosten für regelmäßige Wartungsservices</w:t>
            </w:r>
          </w:p>
          <w:p>
            <w:pPr>
              <w:numPr>
                <w:ilvl w:val="0"/>
                <w:numId w:val="211012227"/>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Kosten für die § 57a-Überprüfungen („Pickerl“)</w:t>
            </w:r>
          </w:p>
          <w:p>
            <w:pPr>
              <w:numPr>
                <w:ilvl w:val="0"/>
                <w:numId w:val="211012227"/>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Versicherungsprämien (inkl Steuer)</w:t>
            </w:r>
          </w:p>
          <w:p>
            <w:pPr>
              <w:numPr>
                <w:ilvl w:val="0"/>
                <w:numId w:val="211012227"/>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Kosten für Autobahnvignette und Mautgebühren für betriebliche
Fahrten in Österreich und für private Fahrten in Österreich (und in
der Europäischen Union) (und in der Schweiz) … [gewünschte Variante
auswählen]</w:t>
            </w:r>
          </w:p>
          <w:p>
            <w:pPr>
              <w:numPr>
                <w:ilvl w:val="0"/>
                <w:numId w:val="211012227"/>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Parkgebühren bei Dienstreisen</w:t>
            </w:r>
          </w:p>
          <w:p>
            <w:pPr>
              <w:numPr>
                <w:ilvl w:val="0"/>
                <w:numId w:val="211012227"/>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Kosten für Reifen und Zubehör wie zB Schneeketten,
Scheibenwischmittel]</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Dienstnehmer trägt die folgenden mit dem Dienstwagen
verbundenen Kosten:</w:t>
            </w:r>
          </w:p>
          <w:p>
            <w:pPr>
              <w:numPr>
                <w:ilvl w:val="0"/>
                <w:numId w:val="679356706"/>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Kosten für das Aufladen mit elektrischer Energie (Strom)
außerhalb des Unternehmensstandorts</w:t>
            </w:r>
          </w:p>
          <w:p>
            <w:pPr>
              <w:numPr>
                <w:ilvl w:val="0"/>
                <w:numId w:val="679356706"/>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Kosten für einen allfälligen Einbau einer privaten Ladestation
samt Stromzähler</w:t>
            </w:r>
          </w:p>
          <w:p>
            <w:pPr>
              <w:numPr>
                <w:ilvl w:val="0"/>
                <w:numId w:val="679356706"/>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Kosten für Privatparkplätze in Österreich und außerhalb
Österreichs</w:t>
            </w:r>
          </w:p>
          <w:p>
            <w:pPr>
              <w:numPr>
                <w:ilvl w:val="0"/>
                <w:numId w:val="679356706"/>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Allfällige Verwaltungsstrafen (Geldstrafen)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 Rückgabe des
Dienstwagens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Dienstwagen ist an den Dienstgeber vom Dienstnehmer in
ordnungsgemäßem, gereinigtem Zustand mit allen Fahrzeugpapieren,
Schlüssel(n) und Teilen (zB Reifen) zurückzustellen bei</w:t>
            </w:r>
          </w:p>
          <w:p>
            <w:pPr>
              <w:numPr>
                <w:ilvl w:val="0"/>
                <w:numId w:val="999779210"/>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Ende des Dienstverhältnisses (Entlassung, Kündigung, Austritt
des Dienstnehmers, einvernehmliche Auflösung, …
[</w:t>
            </w:r>
            <w:r>
              <w:rPr>
                <w:rFonts w:ascii="Arial" w:hAnsi="Arial" w:eastAsia="Arial" w:cs="Arial"/>
                <w:b/>
                <w:bCs/>
                <w:color w:val="000000"/>
                <w:position w:val="0"/>
                <w:sz w:val="19"/>
                <w:szCs w:val="19"/>
                <w:shd w:val="clear" w:color="auto" w:fill="FFFFFF"/>
              </w:rPr>
              <w:t xml:space="preserve">Variante:</w:t>
            </w:r>
            <w:r>
              <w:rPr>
                <w:rFonts w:ascii="Arial" w:hAnsi="Arial" w:eastAsia="Arial" w:cs="Arial"/>
                <w:color w:val="000000"/>
                <w:position w:val="0"/>
                <w:sz w:val="19"/>
                <w:szCs w:val="19"/>
                <w:shd w:val="clear" w:color="auto" w:fill="FFFFFF"/>
              </w:rPr>
              <w:t xml:space="preserve"> Ablauf der Befristung]);</w:t>
            </w:r>
          </w:p>
          <w:p>
            <w:pPr>
              <w:numPr>
                <w:ilvl w:val="0"/>
                <w:numId w:val="999779210"/>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Aufforderung des Dienstgebers gem § 5;</w:t>
            </w:r>
          </w:p>
          <w:p>
            <w:pPr>
              <w:numPr>
                <w:ilvl w:val="0"/>
                <w:numId w:val="999779210"/>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gesonderter Rückgabevereinbarung zwischen Dienstnehmer und
Dienstgeber.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Dienstnehmer ist nicht berechtigt, den Dienstwagen oder die
unter § 4.1 genannten Objekte zurückzubehalten.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 Widerrufs- und </w:t>
      </w:r>
      <w:r>
        <w:rPr>
          <w:rFonts w:ascii="Arial" w:hAnsi="Arial" w:eastAsia="Arial" w:cs="Arial"/>
          <w:b/>
          <w:bCs/>
          <w:color w:val="363A40"/>
          <w:sz w:val="28"/>
          <w:szCs w:val="28"/>
        </w:rPr>
        <w:t xml:space="preserve">Rückforderungsvorbehalt</w:t>
      </w:r>
      <w:bookmarkStart w:id="14446129" w:name="link6"/>
      <w:bookmarkEnd w:id="14446129"/>
      <w:hyperlink w:anchor="note6" w:history="1">
        <w:r>
          <w:rPr>
            <w:rFonts w:ascii="Arial" w:hAnsi="Arial" w:eastAsia="Arial" w:cs="Arial"/>
            <w:b/>
            <w:bCs/>
            <w:color w:val="006BB6"/>
            <w:position w:val="6"/>
            <w:sz w:val="31"/>
            <w:szCs w:val="31"/>
            <w:vertAlign w:val="superscript"/>
          </w:rPr>
          <w:t xml:space="preserve">6</w:t>
        </w:r>
      </w:hyperlink>
    </w:p>
    <w:p>
      <w:pPr>
        <w:widowControl w:val="on"/>
        <w:pBdr/>
        <w:spacing w:before="140" w:after="240" w:line="288" w:lineRule="auto"/>
        <w:ind w:left="0" w:right="0"/>
        <w:jc w:val="left"/>
      </w:pPr>
      <w:r>
        <w:rPr>
          <w:rFonts w:ascii="Arial" w:hAnsi="Arial" w:eastAsia="Arial" w:cs="Arial"/>
          <w:color w:val="000000"/>
          <w:sz w:val="20"/>
          <w:szCs w:val="20"/>
        </w:rPr>
        <w:t xml:space="preserve">Der Dienstgeber stellt dem Dienstnehmer den Dienstwagen
freiwillig zur Verfügung. Der Dienstgeber ist berechtigt, aus
sachlichen Gründen die Zurverfügungstellung und/oder die
Privatnutzung des Dienstwagens durch den Dienstnehmer
entschädigungslos zu widerrufen und den Dienstnehmer zur
Rückstellung des Dienstwagens aufzufordern. Solche sachlichen
Gründe sind vor allem:</w:t>
      </w:r>
    </w:p>
    <w:p>
      <w:pPr>
        <w:numPr>
          <w:ilvl w:val="0"/>
          <w:numId w:val="1647567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Dienstfreistellung des Dienstnehmers</w:t>
      </w:r>
    </w:p>
    <w:p>
      <w:pPr>
        <w:numPr>
          <w:ilvl w:val="0"/>
          <w:numId w:val="1647567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Karenzierungen des Dienstnehmers</w:t>
      </w:r>
    </w:p>
    <w:p>
      <w:pPr>
        <w:numPr>
          <w:ilvl w:val="0"/>
          <w:numId w:val="1647567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Wehrdienst des Dienstnehmers</w:t>
      </w:r>
    </w:p>
    <w:p>
      <w:pPr>
        <w:numPr>
          <w:ilvl w:val="0"/>
          <w:numId w:val="1647567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Krankenstand des Dienstnehmers von mehr als 3 Monaten</w:t>
      </w:r>
    </w:p>
    <w:p>
      <w:pPr>
        <w:numPr>
          <w:ilvl w:val="0"/>
          <w:numId w:val="1647567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Führerscheinentzug für mehr als 4 Wochen oder mehrfache
(wiederholte) oder schwerwiegende Verstöße gegen die
Straßenverkehrsvorschriften</w:t>
      </w:r>
    </w:p>
    <w:p>
      <w:pPr>
        <w:numPr>
          <w:ilvl w:val="0"/>
          <w:numId w:val="1647567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Verschlechterung der wirtschaftlichen Lage des Unternehmens des
Dienstgebers</w:t>
      </w:r>
    </w:p>
    <w:p>
      <w:pPr>
        <w:numPr>
          <w:ilvl w:val="0"/>
          <w:numId w:val="1647567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Wegfall der betrieblichen Notwendigkeit der Nutzung eines
Dienstwagens durch den Dienstnehmer, zB bei Versetzung in eine
Position, die keinen Dienstwagen erfordert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6 Allgemeine
Bestimmungen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übrigen Bestimmungen des Dienstvertrages vom … [Datum]
bleiben vollinhaltlich aufrecht.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r>
              <w:rPr>
                <w:rFonts w:ascii="Arial" w:hAnsi="Arial" w:eastAsia="Arial" w:cs="Arial"/>
                <w:b/>
                <w:bCs/>
                <w:color w:val="000000"/>
                <w:position w:val="0"/>
                <w:sz w:val="20"/>
                <w:szCs w:val="20"/>
                <w:shd w:val="clear" w:color="auto" w:fill="FFFFFF"/>
              </w:rPr>
              <w:t xml:space="preserve">Variante</w:t>
            </w:r>
            <w:r>
              <w:rPr>
                <w:rFonts w:ascii="Arial" w:hAnsi="Arial" w:eastAsia="Arial" w:cs="Arial"/>
                <w:b/>
                <w:bCs/>
                <w:color w:val="000000"/>
                <w:position w:val="0"/>
                <w:sz w:val="20"/>
                <w:szCs w:val="20"/>
                <w:shd w:val="clear" w:color="auto" w:fill="FFFFFF"/>
              </w:rPr>
              <w:t xml:space="preserve">:</w:t>
            </w:r>
            <w:r>
              <w:rPr>
                <w:rFonts w:ascii="Arial" w:hAnsi="Arial" w:eastAsia="Arial" w:cs="Arial"/>
                <w:color w:val="000000"/>
                <w:position w:val="0"/>
                <w:sz w:val="20"/>
                <w:szCs w:val="20"/>
                <w:shd w:val="clear" w:color="auto" w:fill="FFFFFF"/>
              </w:rPr>
              <w:t xml:space="preserve"> Die </w:t>
            </w:r>
            <w:r>
              <w:rPr>
                <w:rFonts w:ascii="Arial" w:hAnsi="Arial" w:eastAsia="Arial" w:cs="Arial"/>
                <w:b/>
                <w:bCs/>
                <w:color w:val="000000"/>
                <w:position w:val="0"/>
                <w:sz w:val="20"/>
                <w:szCs w:val="20"/>
                <w:shd w:val="clear" w:color="auto" w:fill="FFFFFF"/>
              </w:rPr>
              <w:t xml:space="preserve">Car
Policy</w:t>
            </w:r>
            <w:r>
              <w:rPr>
                <w:rFonts w:ascii="Arial" w:hAnsi="Arial" w:eastAsia="Arial" w:cs="Arial"/>
                <w:color w:val="000000"/>
                <w:position w:val="0"/>
                <w:sz w:val="20"/>
                <w:szCs w:val="20"/>
                <w:shd w:val="clear" w:color="auto" w:fill="FFFFFF"/>
              </w:rPr>
              <w:t xml:space="preserve"> bildet als Beilage einen integrierten
Vertragsbestandteil. Bei Widersprüchen zwischen Bestimmungen dieses
Vertrages und Bestimmungen der Car Policy haben die Bestimmungen
dieses Vertrages Vorrang.]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Sollten Bestimmungen dieses Vertrages rechtsunwirksam, ungültig
und/oder nichtig sein oder werden, so berührt dies die
Rechtswirksamkeit und Gültigkeit der übrigen Bestimmungen nicht.
Die Vertragspartner verpflichten sich in diesem Fall, die
rechtsunwirksame, ungültige und/oder nichtige (rechtsunwirksam,
ungültig und/oder nichtig gewordene) Bestimmung durch eine solche
zu ersetzen, die rechtswirksam und gültig ist und in ihrer
wirtschaftlichen Auswirkung der ersetzen Bestimmung – soweit als
möglich und rechtlich zulässig – entspricht.</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 Dienstgeber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 Dienstnehmer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1923070" w:name="note1"/>
            <w:bookmarkEnd w:id="11923070"/>
            <w:bookmarkStart w:id="935536076907" w:name="note1"/>
            <w:r>
              <w:rPr>
                <w:rFonts w:ascii="Arial" w:hAnsi="Arial" w:eastAsia="Arial" w:cs="Arial"/>
                <w:b/>
                <w:bCs/>
                <w:color w:val="000000"/>
                <w:position w:val="0"/>
                <w:sz w:val="20"/>
                <w:szCs w:val="20"/>
              </w:rPr>
              <w:t xml:space="preserve">[1]</w:t>
            </w:r>
            <w:bookmarkEnd w:id="93553607690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Dienstwagen und Ausstattung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ist für den Dienstwagen die Angemessenheitsgrenze (auch
„Luxusgrenze“) gem Pkw-Angemessenheitsverordnung iHv derzeit
EUR 40.000,– inklusive Sonderausstattungen zu beachten.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9459939" w:name="note2"/>
            <w:bookmarkEnd w:id="49459939"/>
            <w:bookmarkStart w:id="8366224032962" w:name="note2"/>
            <w:r>
              <w:rPr>
                <w:rFonts w:ascii="Arial" w:hAnsi="Arial" w:eastAsia="Arial" w:cs="Arial"/>
                <w:b/>
                <w:bCs/>
                <w:color w:val="000000"/>
                <w:position w:val="0"/>
                <w:sz w:val="20"/>
                <w:szCs w:val="20"/>
              </w:rPr>
              <w:t xml:space="preserve">[2]</w:t>
            </w:r>
            <w:bookmarkEnd w:id="836622403296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Erstattung von Sonderausstattungs-/Nachrüstungskosten bei
Beendigung des Dienstvertrages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Laut Rechtsprechung ist eine Vereinbarung unzulässig, nach der
der Dienstwagen nach Beendigung des Dienstverhältnisses mit dem
Dienstnehmer beim Dienstgeber bleibt, von diesem weiterverwendet
wird und somit der Nutzen daraus ausschließlich dem Dienstgeber
zukommt (RIS-Justiz RS0027915, OGH 8 ObA 20/17z). Es sind folglich
dem Dienstnehmer allfällige Mehrkosten zu erstatten, wenn der
Dienstwagen nach Ende des Dienstverhältnisses beim Dienstnehmer
verbleibt.</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3986357" w:name="note3"/>
            <w:bookmarkEnd w:id="73986357"/>
            <w:bookmarkStart w:id="6448076776392" w:name="note3"/>
            <w:r>
              <w:rPr>
                <w:rFonts w:ascii="Arial" w:hAnsi="Arial" w:eastAsia="Arial" w:cs="Arial"/>
                <w:b/>
                <w:bCs/>
                <w:color w:val="000000"/>
                <w:position w:val="0"/>
                <w:sz w:val="20"/>
                <w:szCs w:val="20"/>
              </w:rPr>
              <w:t xml:space="preserve">[3]</w:t>
            </w:r>
            <w:bookmarkEnd w:id="644807677639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Nutzung des Dienstwagens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Regelungen für die Nutzung des Dienstwagens durch den
Dienstnehmer ist klar zu regeln.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empfiehlt sich jedenfalls, die Nutzung des Dienstwagens mit
km-Anzahl und ortsspezifisch zu beschränken. Möglich ist zB eine
reine Nutzungsgestattung im Inland oder auch innerhalb der
Europäischen Union. Es können alternativ auch bestimmte Länder
angegeben werden, wie zB Österreich samt unmittelbar angrenzender
Nachbarländer.</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Für reine Elektroautos</w:t>
            </w:r>
            <w:r>
              <w:rPr>
                <w:rFonts w:ascii="Arial" w:hAnsi="Arial" w:eastAsia="Arial" w:cs="Arial"/>
                <w:color w:val="000000"/>
                <w:position w:val="0"/>
                <w:sz w:val="20"/>
                <w:szCs w:val="20"/>
              </w:rPr>
              <w:t xml:space="preserve"> als Dienstwagen fällt
für private Fahrten, also für die private Nutzung, </w:t>
            </w:r>
            <w:r>
              <w:rPr>
                <w:rFonts w:ascii="Arial" w:hAnsi="Arial" w:eastAsia="Arial" w:cs="Arial"/>
                <w:b/>
                <w:bCs/>
                <w:color w:val="000000"/>
                <w:position w:val="0"/>
                <w:sz w:val="20"/>
                <w:szCs w:val="20"/>
              </w:rPr>
              <w:t xml:space="preserve">kein
Sachbezug</w:t>
            </w:r>
            <w:r>
              <w:rPr>
                <w:rFonts w:ascii="Arial" w:hAnsi="Arial" w:eastAsia="Arial" w:cs="Arial"/>
                <w:color w:val="000000"/>
                <w:position w:val="0"/>
                <w:sz w:val="20"/>
                <w:szCs w:val="20"/>
              </w:rPr>
              <w:t xml:space="preserve"> an (der </w:t>
            </w:r>
            <w:r>
              <w:rPr>
                <w:rFonts w:ascii="Arial" w:hAnsi="Arial" w:eastAsia="Arial" w:cs="Arial"/>
                <w:b/>
                <w:bCs/>
                <w:color w:val="000000"/>
                <w:position w:val="0"/>
                <w:sz w:val="20"/>
                <w:szCs w:val="20"/>
              </w:rPr>
              <w:t xml:space="preserve">Sachbezugswert ist 0</w:t>
            </w:r>
            <w:r>
              <w:rPr>
                <w:rFonts w:ascii="Arial" w:hAnsi="Arial" w:eastAsia="Arial" w:cs="Arial"/>
                <w:color w:val="000000"/>
                <w:position w:val="0"/>
                <w:sz w:val="20"/>
                <w:szCs w:val="20"/>
              </w:rPr>
              <w:t xml:space="preserve">,
§ 4 Abs 1 Z 3 Sachbezugswerteverordnung). Anderes
gilt, wenn der Dienstwagen ein </w:t>
            </w:r>
            <w:r>
              <w:rPr>
                <w:rFonts w:ascii="Arial" w:hAnsi="Arial" w:eastAsia="Arial" w:cs="Arial"/>
                <w:b/>
                <w:bCs/>
                <w:color w:val="000000"/>
                <w:position w:val="0"/>
                <w:sz w:val="20"/>
                <w:szCs w:val="20"/>
              </w:rPr>
              <w:t xml:space="preserve">Hybrid-Auto</w:t>
            </w:r>
            <w:r>
              <w:rPr>
                <w:rFonts w:ascii="Arial" w:hAnsi="Arial" w:eastAsia="Arial" w:cs="Arial"/>
                <w:color w:val="000000"/>
                <w:position w:val="0"/>
                <w:sz w:val="20"/>
                <w:szCs w:val="20"/>
              </w:rPr>
              <w:t xml:space="preserve"> ist
oder einen </w:t>
            </w:r>
            <w:r>
              <w:rPr>
                <w:rFonts w:ascii="Arial" w:hAnsi="Arial" w:eastAsia="Arial" w:cs="Arial"/>
                <w:b/>
                <w:bCs/>
                <w:color w:val="000000"/>
                <w:position w:val="0"/>
                <w:sz w:val="20"/>
                <w:szCs w:val="20"/>
              </w:rPr>
              <w:t xml:space="preserve">Range Extender</w:t>
            </w:r>
            <w:r>
              <w:rPr>
                <w:rFonts w:ascii="Arial" w:hAnsi="Arial" w:eastAsia="Arial" w:cs="Arial"/>
                <w:color w:val="000000"/>
                <w:position w:val="0"/>
                <w:sz w:val="20"/>
                <w:szCs w:val="20"/>
              </w:rPr>
              <w:t xml:space="preserve"> (Reichweitenverlängerer)
eingebaut hat, weil hier ein CO</w:t>
            </w:r>
            <w:r>
              <w:rPr>
                <w:rFonts w:ascii="Arial" w:hAnsi="Arial" w:eastAsia="Arial" w:cs="Arial"/>
                <w:color w:val="000000"/>
                <w:position w:val="-3"/>
                <w:sz w:val="18"/>
                <w:szCs w:val="18"/>
                <w:vertAlign w:val="subscript"/>
              </w:rPr>
              <w:t xml:space="preserve">2</w:t>
            </w:r>
            <w:r>
              <w:rPr>
                <w:rFonts w:ascii="Arial" w:hAnsi="Arial" w:eastAsia="Arial" w:cs="Arial"/>
                <w:color w:val="000000"/>
                <w:position w:val="0"/>
                <w:sz w:val="20"/>
                <w:szCs w:val="20"/>
              </w:rPr>
              <w:t xml:space="preserve">-Ausstoß stattfindet und
damit die Ausnahme gemäß Sachbezugswerteverordnung nicht
greift.</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Hinweis: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Das Doppelbudget 2027 und 2028 sieht vor, dass künftig auch für
E-Firmenautos bei Privatnutzung ein Sachbezug anzusetzen ist. Ab
01.01.2027 ist voraussichtlich ein Sachbezug von 0,375 % der
Anschaffungskosten pro Monat vorgesehen, ab 01.01.2028 soll sich
dieser auf 0,625 % erhöhen. Werden – wie bei Verbrennern –
maximal EUR 48.000,– der Anschaffungskosten für die Berechnung
herangezogen, ergibt dies einen monatlichen Sachbezug von
EUR 180,– ab 2027 bzw EUR 300,– ab 2028.</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0488745" w:name="note4"/>
            <w:bookmarkEnd w:id="30488745"/>
            <w:bookmarkStart w:id="9439098820985" w:name="note4"/>
            <w:r>
              <w:rPr>
                <w:rFonts w:ascii="Arial" w:hAnsi="Arial" w:eastAsia="Arial" w:cs="Arial"/>
                <w:b/>
                <w:bCs/>
                <w:color w:val="000000"/>
                <w:position w:val="0"/>
                <w:sz w:val="20"/>
                <w:szCs w:val="20"/>
              </w:rPr>
              <w:t xml:space="preserve">[4]</w:t>
            </w:r>
            <w:bookmarkEnd w:id="943909882098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Car Policy</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empfiehlt sich eine unternehmensinterne </w:t>
            </w:r>
            <w:r>
              <w:rPr>
                <w:rFonts w:ascii="Arial" w:hAnsi="Arial" w:eastAsia="Arial" w:cs="Arial"/>
                <w:b/>
                <w:bCs/>
                <w:color w:val="000000"/>
                <w:position w:val="0"/>
                <w:sz w:val="20"/>
                <w:szCs w:val="20"/>
              </w:rPr>
              <w:t xml:space="preserve">Car
Policy</w:t>
            </w:r>
            <w:r>
              <w:rPr>
                <w:rFonts w:ascii="Arial" w:hAnsi="Arial" w:eastAsia="Arial" w:cs="Arial"/>
                <w:color w:val="000000"/>
                <w:position w:val="0"/>
                <w:sz w:val="20"/>
                <w:szCs w:val="20"/>
              </w:rPr>
              <w:t xml:space="preserve"> aufzusetzen, in der detaillierte Regelungen zum
Dienstwagen und zu dessen Nutzung getroffen werden, wie zB zur
Kostentragung, zum Vorgehen bei Unfall oder Diebstahl, zu Wartung
und Reparatur, zur allfälligen Möglichkeit eines Ersatzautos
etc.</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6862376" w:name="note5"/>
            <w:bookmarkEnd w:id="76862376"/>
            <w:bookmarkStart w:id="1584071833126" w:name="note5"/>
            <w:r>
              <w:rPr>
                <w:rFonts w:ascii="Arial" w:hAnsi="Arial" w:eastAsia="Arial" w:cs="Arial"/>
                <w:b/>
                <w:bCs/>
                <w:color w:val="000000"/>
                <w:position w:val="0"/>
                <w:sz w:val="20"/>
                <w:szCs w:val="20"/>
              </w:rPr>
              <w:t xml:space="preserve">[5]</w:t>
            </w:r>
            <w:bookmarkEnd w:id="158407183312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Betriebskosten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Um Klarheit zu schaffen, wer welche Kosten zu tragen hat, sollte
eine detaillierte Kostenregelung getroffen werden. Hierfür
empfehlen sich detaillierte Regelungen in einer Car Policy. Sollte
es eine solche nicht geben, sind Kostentragungsregeln in die
Vereinbarung zum Dienstwagen aufzunehmen. Eine Regelung, die
sämtliche Kosten auf den Dienstnehmer überwälzt, ist unzulässig
(OGH 8 ObA 129/02g).</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6253688" w:name="note6"/>
            <w:bookmarkEnd w:id="16253688"/>
            <w:bookmarkStart w:id="4378711320946" w:name="note6"/>
            <w:r>
              <w:rPr>
                <w:rFonts w:ascii="Arial" w:hAnsi="Arial" w:eastAsia="Arial" w:cs="Arial"/>
                <w:b/>
                <w:bCs/>
                <w:color w:val="000000"/>
                <w:position w:val="0"/>
                <w:sz w:val="20"/>
                <w:szCs w:val="20"/>
              </w:rPr>
              <w:t xml:space="preserve">[6]</w:t>
            </w:r>
            <w:bookmarkEnd w:id="437871132094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Widerrufs- und Rückforderungsvorbehalt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solcher Vorbehalt ist wichtig, um dem Dienstnehmer ggf
einseitig den Dienstwagen wieder entziehen zu können. Ein Widerruf
muss aus sachlichen Gründen erfolgen und darf nicht unbillig
(schikanös) ausgesprochen werden.</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2915842" w:name="note7"/>
            <w:bookmarkEnd w:id="42915842"/>
            <w:bookmarkStart w:id="8341407445502" w:name="note7"/>
            <w:r>
              <w:rPr>
                <w:rFonts w:ascii="Arial" w:hAnsi="Arial" w:eastAsia="Arial" w:cs="Arial"/>
                <w:b/>
                <w:bCs/>
                <w:color w:val="000000"/>
                <w:position w:val="0"/>
                <w:sz w:val="20"/>
                <w:szCs w:val="20"/>
              </w:rPr>
              <w:t xml:space="preserve">[7]</w:t>
            </w:r>
            <w:bookmarkEnd w:id="834140744550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Gehaltsumwandlung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Sachbezugswert von EUR 0,– ist auch für die
Zurverfügungstellung eines E-Firmenautos im Rahmen einer –
befristeten oder unbefristeten – Gehaltsumwandlung
überkollektivvertraglich gewährter Bruttobezüge anzusetzen. Bei
dieser Gehaltsumwandlung vereinbaren Dienstgeber und Dienstnehmer
eine Gehaltsreduktion als „Nutzungsgebühr“, um ein E-Firmenauto
auch für Privatfahrten nutzen zu können.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reduzierte Bruttoentgelt darf jedoch nicht das
kollektivvertragliche Mindestentgelt unterschreiten.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zulässige Gehaltsumwandlung hat auch finanzielle Vorteile
für Dienstgeber und Dienstnehmer, da sich die Bemessungsgrundlage
für die Lohnsteuer und die Lohnnebenkosten (Kommunalsteuer, DB, DZ)
verringert.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Voraussetzung für die Reduktion der Bemessungsgrundlage der
Lohnsteuer und Lohnnebenkosten ist jedoch eine schriftliche
Dienstvertragsänderung über die Reduktion des Bruttobezuges. Dabei
handelt es sich um eine arbeitsrechtlich zulässige
Verschlechterungsvereinbarung.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zulässige Verminderung des überkollektivvertraglichen
Entgeltes reduziert auch die ASVG-Beitragsgrundlage und die
Beiträge für die Betriebliche Vorsorge. Voraussetzung ist, dass das
verbleibende Bruttoentgelt zumindest dem kollektivvertraglichen
Gehalt entspricht und als Beitragsgrundlage gilt.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zulässige Verminderung des überkollektivvertraglichen
Entgeltes wirkt sich aber auch auf Sonderzahlungen, Urlaubs- und
Krankenentgelt, Mehrarbeits- und Überstundenentlohnung,
Ist-Lohnerhöhungen etc aus. Dabei ist jedoch zu beachten, dass es
dadurch üblicherweise zu Sechstelüberschreitungen kommen kann (vgl
auch BMF-Anfragebeantwortung vom 08.03.2023).</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7353010" w:name="note8"/>
            <w:bookmarkEnd w:id="67353010"/>
            <w:bookmarkStart w:id="1793783327636" w:name="note8"/>
            <w:r>
              <w:rPr>
                <w:rFonts w:ascii="Arial" w:hAnsi="Arial" w:eastAsia="Arial" w:cs="Arial"/>
                <w:b/>
                <w:bCs/>
                <w:color w:val="000000"/>
                <w:position w:val="0"/>
                <w:sz w:val="20"/>
                <w:szCs w:val="20"/>
              </w:rPr>
              <w:t xml:space="preserve">[8]</w:t>
            </w:r>
            <w:bookmarkEnd w:id="179378332763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E-Tankstelle, Aufladen des E-Firmenwagens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das unentgeltliche oder verbilligte Aufladen von
Elektrofahrzeugen (zB Elektroautos, Elektrofahrräder) beim
Arbeitgeber ist beim Arbeitnehmer kein Sachbezugswert anzusetzen.
Dies gilt sowohl für arbeitgebereigene als auch für nicht
arbeitgebereigene Fahrzeuge, die dem Arbeitnehmer selbst oder
anderen Personen gehören.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Hinweis: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Das Doppelbudget 2027 und 2028 sieht vor, dass künftig auch für
E-Firmenautos bei Privatnutzung ein Sachbezug anzusetzen ist. Ab
01.01.2027 ist voraussichtlich ein Sachbezug von 0,375 % der
Anschaffungskosten pro Monat vorgesehen, ab 01.01.2028 soll sich
dieser auf 0,625 % erhöhen. Werden – wie bei Verbrennern –
maximal EUR 48.000,– der Anschaffungskosten für die Berechnung
herangezogen, ergibt dies einen monatlichen Sachbezug von
EUR 180,– ab 2027 bzw EUR 300,– ab 2028.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Aufladen beim Arbeitgeber liegt nur vor, wenn es an einem
Betriebsstandort bzw einer Betriebsstätte des Arbeitgebers erfolgt
oder der Arbeitgeber über den Ladeort und die Ladeeinrichtung
verfügt und die Stromkosten trägt.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Aufladen im privaten Bereich des Arbeitnehmers zählt nicht
als Aufladen beim Arbeitgeber. Ersetzt der Arbeitgeber Stromkosten
für ein privates Fahrzeug des Arbeitnehmers, ist dies
steuerpflichtiger Arbeitslohn (vgl LStR Rz 207c).</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Ersetzt der Arbeitgeber dem Arbeitnehmer die belegmäßig
(Rechnung) nachgewiesenen Ladekosten für das E-Firmenauto an
öffentlichen Ladestationen, so liegt ebenfalls ein abgabenfreier
Auslagenersatz vor. Soweit ein Nachweis, um welches Fahrzeug es
sich handelt, mittels Rechnung nicht zumutbar oder nicht möglich
ist, kann eine Zuordnung zum arbeitgebereigenen E-Auto auch
glaubhaft gemacht werden (gültig seit 01.01.2023).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Kostenersatz für das Aufladen des E-Firmenwagens zu Hause
ist abgabenfrei, wenn</w:t>
            </w:r>
          </w:p>
          <w:p>
            <w:pPr>
              <w:numPr>
                <w:ilvl w:val="0"/>
                <w:numId w:val="18618618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beim Aufladen durch den Arbeitnehmer an einer nicht
öffentlichen Ladestation die nachweisliche Zuordnung der Lademenge
zu diesem Kraftfahrzeug sichergestellt wird (zB durch das Fahrzeug
selbst – In-vehicle-Aufzeichnungen –, der Dienstnehmer sich beim
Aufladen des E-Firmenautos bei der Ladeeinrichtung anhand einer
RFID-Karte oder einem Schlüssel registriert und die Lademenge
eindeutig diesem Fahrzeug zugeordnet werden kann etc),</w:t>
            </w:r>
          </w:p>
          <w:p>
            <w:pPr>
              <w:numPr>
                <w:ilvl w:val="0"/>
                <w:numId w:val="18618618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Dienstnehmer sich beim Aufladen des E-Firmenautos bei der
Ladeeinrichtung anhand einer RFID-Karte, einem Schlüssel, eines
QR-Codes oder einer Smartphone-App registriert und die Lademenge
eindeutig diesem Fahrzeug zugeordnet werden kann etc, sowie</w:t>
            </w:r>
          </w:p>
          <w:p>
            <w:pPr>
              <w:numPr>
                <w:ilvl w:val="0"/>
                <w:numId w:val="18618618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Höhe des Kostenersatzes nach einem pauschalen kWh-Satz
ermittelt wird, der jährlich vom BMF festgelegt wird und für 2026
32,806 Cent/kWh beträgt.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Ersetzt der Arbeitgeber dem Arbeitnehmer einen geringeren Betrag
als den nach der Sachbezugswerte-VO ermittelten maximalen
Kostenersatz, ist keine Einnahme anzusetzen. Höhere Kostenersätze
sind steuerpflichtig. Für den Kostenersatz sind ausschließlich die
dem arbeitgebereigenen Kfz zuzuordnenden Kilowattstunden
ausschlaggebend (vgl LStR Rz 207e).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nachgewiesen werden kann, dass die verwendete
Ladeeinrichtung nicht in der Lage ist, die Lademenge dem
E-Firmenwagen zuzuordnen, kann in den Jahren 2023 bis
einschließlich 2025 ein Pauschalbetrag von bis zu EUR 30,– pro
Kalendermonat steuer- und abgabenfrei ersetzt werden. Nach Ansicht
des BMF kommt als Nachweis beispielsweise die Rechnung der
Ladeeinrichtung, aus welcher die technischen Eigenschaften in der
Regel ableitbar sind, infrage.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Ersetzt der Arbeitgeber ganz oder teilweise die Kosten für die
Anschaffung einer Ladeeinrichtung im privaten Haushalt des
Arbeitnehmers, so ist dieser Zuschuss bis zu einem Betrag von
EUR 2.000,– sachbezugsbefreit. Ein darüber hinausgehender
Kostenersatz ist als einmaliger oder laufender Sachbezug zu
versteuern. Dies hängt davon ab, ob der Kostenersatz durch den
Arbeitgeber einmalig oder laufend ausbezahlt wird. Im Fall der
Zurverfügungstellung der Ladeeinrichtung ist laut BMF der
übersteigende Wert als sonstiger Bezug zu versteuern.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Auf-/Umrüsten der Ladestation fällt auch unter die
EUR 2.000,– Regelung, wenn es sich um nachträgliche
Anschaffungs(neben)kosten handelt und die EUR 2.000,– noch
nicht ausgeschöpft sind.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Zurverfügungstellung der Ladeeinrichtung vor der
Zurverfügungstellung des E-Firmenautos wird nur dann steuerlich
anerkannt, sofern der Einbau in unmittelbarer zeitlicher Nähe
erfolgt und es sich nachweislich um eine Ladeeinrichtung für das
arbeitgebereigene Elektroauto handelt. Für die Sachbezugsbefreiung
des Kostenersatzes für die Anschaffung der Ladeeinrichtung ist der
Zeitpunkt der Auszahlung des Kostenersatzes (bei vor dem 01.01.2023
angeschafften Ladeeinrichtungen) relevant.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der Arbeitgeber die Ladeeinrichtung für das E-Firmenauto
least und dem Arbeitnehmer zur Verfügung stellt, ist auf die im
Leasingvertrag der Berechnung der Leasingrate zugrundeliegenden
Anschaffungskosten der Ladeeinrichtung abzustellen.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Basis für die Berechnung des Sachbezuges ist das prozentuelle
Ausmaß der Anschaffungskosten, welche den Betrag von
EUR 2.000,– übersteigen. Im nächsten Schritt ist der so
errechnete Prozentsatz mit der monatlichen Leasingrate zu
multiplizieren. Der sich daraus ergebende Betrag ist dann als
Sachbezug anzusetzen.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Besteht für den Arbeitnehmer die Möglichkeit, ein nicht
arbeitgebereigenes E-Auto beim Arbeitgeber unentgeltlich
aufzuladen, ist ebenso ein Sachbezugswert von Null anzusetzen (vgl
§ 4c Abs 2 Sachbezugswerte-VO).</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18618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6475672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9977921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7935670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1101222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7536722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3644909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7416019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8131681">
    <w:multiLevelType w:val="hybridMultilevel"/>
    <w:lvl w:ilvl="0" w:tplc="15630759">
      <w:start w:val="1"/>
      <w:numFmt w:val="decimal"/>
      <w:lvlText w:val="%1."/>
      <w:lvlJc w:val="left"/>
      <w:pPr>
        <w:ind w:left="720" w:hanging="360"/>
      </w:pPr>
    </w:lvl>
    <w:lvl w:ilvl="1" w:tplc="15630759" w:tentative="1">
      <w:start w:val="1"/>
      <w:numFmt w:val="lowerLetter"/>
      <w:lvlText w:val="%2."/>
      <w:lvlJc w:val="left"/>
      <w:pPr>
        <w:ind w:left="1440" w:hanging="360"/>
      </w:pPr>
    </w:lvl>
    <w:lvl w:ilvl="2" w:tplc="15630759" w:tentative="1">
      <w:start w:val="1"/>
      <w:numFmt w:val="lowerRoman"/>
      <w:lvlText w:val="%3."/>
      <w:lvlJc w:val="right"/>
      <w:pPr>
        <w:ind w:left="2160" w:hanging="180"/>
      </w:pPr>
    </w:lvl>
    <w:lvl w:ilvl="3" w:tplc="15630759" w:tentative="1">
      <w:start w:val="1"/>
      <w:numFmt w:val="decimal"/>
      <w:lvlText w:val="%4."/>
      <w:lvlJc w:val="left"/>
      <w:pPr>
        <w:ind w:left="2880" w:hanging="360"/>
      </w:pPr>
    </w:lvl>
    <w:lvl w:ilvl="4" w:tplc="15630759" w:tentative="1">
      <w:start w:val="1"/>
      <w:numFmt w:val="lowerLetter"/>
      <w:lvlText w:val="%5."/>
      <w:lvlJc w:val="left"/>
      <w:pPr>
        <w:ind w:left="3600" w:hanging="360"/>
      </w:pPr>
    </w:lvl>
    <w:lvl w:ilvl="5" w:tplc="15630759" w:tentative="1">
      <w:start w:val="1"/>
      <w:numFmt w:val="lowerRoman"/>
      <w:lvlText w:val="%6."/>
      <w:lvlJc w:val="right"/>
      <w:pPr>
        <w:ind w:left="4320" w:hanging="180"/>
      </w:pPr>
    </w:lvl>
    <w:lvl w:ilvl="6" w:tplc="15630759" w:tentative="1">
      <w:start w:val="1"/>
      <w:numFmt w:val="decimal"/>
      <w:lvlText w:val="%7."/>
      <w:lvlJc w:val="left"/>
      <w:pPr>
        <w:ind w:left="5040" w:hanging="360"/>
      </w:pPr>
    </w:lvl>
    <w:lvl w:ilvl="7" w:tplc="15630759" w:tentative="1">
      <w:start w:val="1"/>
      <w:numFmt w:val="lowerLetter"/>
      <w:lvlText w:val="%8."/>
      <w:lvlJc w:val="left"/>
      <w:pPr>
        <w:ind w:left="5760" w:hanging="360"/>
      </w:pPr>
    </w:lvl>
    <w:lvl w:ilvl="8" w:tplc="15630759" w:tentative="1">
      <w:start w:val="1"/>
      <w:numFmt w:val="lowerRoman"/>
      <w:lvlText w:val="%9."/>
      <w:lvlJc w:val="right"/>
      <w:pPr>
        <w:ind w:left="6480" w:hanging="180"/>
      </w:pPr>
    </w:lvl>
  </w:abstractNum>
  <w:abstractNum w:abstractNumId="48131680">
    <w:multiLevelType w:val="hybridMultilevel"/>
    <w:lvl w:ilvl="0" w:tplc="15068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31680">
    <w:abstractNumId w:val="48131680"/>
  </w:num>
  <w:num w:numId="48131681">
    <w:abstractNumId w:val="48131681"/>
  </w:num>
  <w:num w:numId="274160198">
    <w:abstractNumId w:val="274160198"/>
  </w:num>
  <w:num w:numId="436449096">
    <w:abstractNumId w:val="436449096"/>
  </w:num>
  <w:num w:numId="975367229">
    <w:abstractNumId w:val="975367229"/>
  </w:num>
  <w:num w:numId="211012227">
    <w:abstractNumId w:val="211012227"/>
  </w:num>
  <w:num w:numId="679356706">
    <w:abstractNumId w:val="679356706"/>
  </w:num>
  <w:num w:numId="999779210">
    <w:abstractNumId w:val="999779210"/>
  </w:num>
  <w:num w:numId="164756727">
    <w:abstractNumId w:val="164756727"/>
  </w:num>
  <w:num w:numId="186186188">
    <w:abstractNumId w:val="1861861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80844342" Type="http://schemas.openxmlformats.org/officeDocument/2006/relationships/numbering" Target="numbering.xml"/><Relationship Id="rId49167010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