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19309350" w:name="document"/>
    <w:bookmarkEnd w:id="19309350"/>
    <w:p/>
    <w:p>
      <w:pPr>
        <w:widowControl w:val="on"/>
        <w:pBdr/>
        <w:spacing w:before="0" w:after="280" w:line="240" w:lineRule="auto"/>
        <w:ind w:left="0" w:right="0"/>
        <w:jc w:val="left"/>
      </w:pPr>
      <w:r>
        <w:rPr>
          <w:rFonts w:ascii="Arial" w:hAnsi="Arial" w:eastAsia="Arial" w:cs="Arial"/>
          <w:color w:val="363A40"/>
          <w:sz w:val="24"/>
          <w:szCs w:val="24"/>
        </w:rPr>
        <w:t xml:space="preserve">Dokument-ID: 999722 | Severin Hammer - Sabine
Barbach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Dienstvertrag – Textbaustein Dienstreisen</w:t>
      </w:r>
    </w:p>
    <w:p>
      <w:pPr>
        <w:widowControl w:val="on"/>
        <w:pBdr/>
        <w:spacing w:before="140" w:after="240" w:line="288" w:lineRule="auto"/>
        <w:ind w:left="0" w:right="0"/>
        <w:jc w:val="left"/>
      </w:pPr>
      <w:r>
        <w:rPr>
          <w:rFonts w:ascii="Arial" w:hAnsi="Arial" w:eastAsia="Arial" w:cs="Arial"/>
          <w:color w:val="000000"/>
          <w:sz w:val="20"/>
          <w:szCs w:val="20"/>
        </w:rPr>
        <w:t xml:space="preserve">Vom Arbeitnehmer sind Dienstreisen im Ausmaß von max … [Anzahl
einfügen] Arbeitstagen pro Monat durchzuführen. Ausnahmsweise,
sofern betriebsbedingt notwendig (zB zu Messezeiten, Abschluss
eines Vertrages, bei Fehlerbehebung) kann eine Dienstreise auch …
[Anzahl einfügen] Arbeitstage überschreiten, jedoch nicht mehr als
maximal … [Anzahl einfügen] Arbeitstage.</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Definition Dienstreise</w:t>
      </w:r>
    </w:p>
    <w:p>
      <w:pPr>
        <w:widowControl w:val="on"/>
        <w:pBdr/>
        <w:spacing w:before="140" w:after="240" w:line="288" w:lineRule="auto"/>
        <w:ind w:left="0" w:right="0"/>
        <w:jc w:val="left"/>
      </w:pPr>
      <w:r>
        <w:rPr>
          <w:rFonts w:ascii="Arial" w:hAnsi="Arial" w:eastAsia="Arial" w:cs="Arial"/>
          <w:color w:val="000000"/>
          <w:sz w:val="20"/>
          <w:szCs w:val="20"/>
        </w:rPr>
        <w:t xml:space="preserve">Eine Dienstreise ist ein Zeitraum, in dem der Arbeitnehmer über
Auftrag des Arbeitgebers seinen Dienstort verlässt, um an einem
anderen Ort seine Arbeitsleitung zu erbringen.</w:t>
      </w:r>
    </w:p>
    <w:p>
      <w:pPr>
        <w:widowControl w:val="on"/>
        <w:pBdr/>
        <w:spacing w:before="140" w:after="240" w:line="288" w:lineRule="auto"/>
        <w:ind w:left="0" w:right="0"/>
        <w:jc w:val="left"/>
      </w:pPr>
      <w:r>
        <w:rPr>
          <w:rFonts w:ascii="Arial" w:hAnsi="Arial" w:eastAsia="Arial" w:cs="Arial"/>
          <w:color w:val="000000"/>
          <w:sz w:val="20"/>
          <w:szCs w:val="20"/>
        </w:rPr>
        <w:t xml:space="preserve">Zusätzlich finden sich regelmäßig in den Kollektivverträgen
Definitionen von Dienstreisen.</w:t>
      </w:r>
    </w:p>
    <w:p>
      <w:pPr>
        <w:widowControl w:val="on"/>
        <w:pBdr/>
        <w:spacing w:before="140" w:after="240" w:line="288" w:lineRule="auto"/>
        <w:ind w:left="0" w:right="0"/>
        <w:jc w:val="left"/>
      </w:pPr>
      <w:r>
        <w:rPr>
          <w:rFonts w:ascii="Arial" w:hAnsi="Arial" w:eastAsia="Arial" w:cs="Arial"/>
          <w:color w:val="000000"/>
          <w:sz w:val="20"/>
          <w:szCs w:val="20"/>
        </w:rPr>
        <w:t xml:space="preserve">Die Dienstreise wird nicht umfassend gesetzlich geregelt.
Vereinzelte Bestimmungen gibt es im Arbeitszeitgesetz, im Steuer-
und Sozialversicherungsrecht und in Kollektivverträgen.</w:t>
      </w:r>
    </w:p>
    <w:p>
      <w:pPr>
        <w:widowControl w:val="on"/>
        <w:pBdr/>
        <w:spacing w:before="140" w:after="240" w:line="288" w:lineRule="auto"/>
        <w:ind w:left="0" w:right="0"/>
        <w:jc w:val="left"/>
      </w:pPr>
      <w:r>
        <w:rPr>
          <w:rFonts w:ascii="Arial" w:hAnsi="Arial" w:eastAsia="Arial" w:cs="Arial"/>
          <w:color w:val="000000"/>
          <w:sz w:val="20"/>
          <w:szCs w:val="20"/>
        </w:rPr>
        <w:t xml:space="preserve">Eine Dienstreise beginnt, sobald der Arbeitnehmer seine
regelmäßige Arbeitsstätte/den Dienstort verlässt und sie endet bei
Rückkehr zum Dienstort. Entsprechendes gilt, wenn die Dienstreise
vom Wohnort aus angetreten wird.</w:t>
      </w:r>
    </w:p>
    <w:p>
      <w:pPr>
        <w:widowControl w:val="on"/>
        <w:pBdr/>
        <w:spacing w:before="140" w:after="240" w:line="288" w:lineRule="auto"/>
        <w:ind w:left="0" w:right="0"/>
        <w:jc w:val="left"/>
      </w:pPr>
      <w:r>
        <w:rPr>
          <w:rFonts w:ascii="Arial" w:hAnsi="Arial" w:eastAsia="Arial" w:cs="Arial"/>
          <w:color w:val="000000"/>
          <w:sz w:val="20"/>
          <w:szCs w:val="20"/>
        </w:rPr>
        <w:t xml:space="preserve">Ob ein Arbeitnehmer zum Antritt von Dienstreisen verpflichtet
ist, ist primär abhängig vom Arbeitsvertrag mit dem Arbeitgeber.
Wurde im Arbeitsvertrag eine Pflicht zu Dienstreisen integriert, so
sind diese auch durchzuführen. Gibt es keine ausdrückliche
Vereinbarung über den Antritt von Dienstreisen, so sind diese unter
Umständen auch anzutreten, wenn Dienstreisen nach der
Verkehrsauffassung mit dem typischen Berufsbild verbunden sind.
Diesfalls muss ein Arbeitnehmer mit der Anordnung von Dienstreisen
rechnen und entspringt die Pflicht zur Ableistung von Dienstreisen
der Konkretisierung der vereinbarten Arbeitsverpflichtung.</w:t>
      </w:r>
    </w:p>
    <w:p>
      <w:pPr>
        <w:widowControl w:val="on"/>
        <w:pBdr/>
        <w:spacing w:before="140" w:after="240" w:line="288" w:lineRule="auto"/>
        <w:ind w:left="0" w:right="0"/>
        <w:jc w:val="left"/>
      </w:pPr>
      <w:r>
        <w:rPr>
          <w:rFonts w:ascii="Arial" w:hAnsi="Arial" w:eastAsia="Arial" w:cs="Arial"/>
          <w:color w:val="000000"/>
          <w:sz w:val="20"/>
          <w:szCs w:val="20"/>
        </w:rPr>
        <w:t xml:space="preserve">Um hier Unklarheiten vorzubeugen, empfiehlt es sich, jedenfalls
eine ausdrückliche schriftliche Vereinbarung betreffend die Pflicht
von Dienstreisen aufzunehmen.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Entgelt für Dienstreisen</w:t>
      </w:r>
    </w:p>
    <w:p>
      <w:pPr>
        <w:widowControl w:val="on"/>
        <w:pBdr/>
        <w:spacing w:before="140" w:after="240" w:line="288" w:lineRule="auto"/>
        <w:ind w:left="0" w:right="0"/>
        <w:jc w:val="left"/>
      </w:pPr>
      <w:r>
        <w:rPr>
          <w:rFonts w:ascii="Arial" w:hAnsi="Arial" w:eastAsia="Arial" w:cs="Arial"/>
          <w:color w:val="000000"/>
          <w:sz w:val="20"/>
          <w:szCs w:val="20"/>
        </w:rPr>
        <w:t xml:space="preserve">Primär regeln die einzelnen Kollektivverträge sowie
Betriebsvereinbarungen das zu zahlende Entgelt während Dienstreisen
sowie den entsprechenden Aufwandersatz.</w:t>
      </w:r>
    </w:p>
    <w:p>
      <w:pPr>
        <w:widowControl w:val="on"/>
        <w:pBdr/>
        <w:spacing w:before="140" w:after="240" w:line="288" w:lineRule="auto"/>
        <w:ind w:left="0" w:right="0"/>
        <w:jc w:val="left"/>
      </w:pPr>
      <w:r>
        <w:rPr>
          <w:rFonts w:ascii="Arial" w:hAnsi="Arial" w:eastAsia="Arial" w:cs="Arial"/>
          <w:color w:val="000000"/>
          <w:sz w:val="20"/>
          <w:szCs w:val="20"/>
        </w:rPr>
        <w:t xml:space="preserve">Sollte weder der Kollektivvertrag noch eine Betriebsvereinbarung
Regelungen über den Aufwandersatz im Zusammenhang mit Dienstreisen
enthalten, so können diese in den Arbeitsvertrag geregelt werden.
Wird auch im Arbeitsvertrag keine Regelung aufgenommen, so wäre
subsidiär die dispositive Bestimmung des § 1014 ABGB
anzuwenden. Ein gänzliches Überwälzen der betrieblichen Kosten auf
den Arbeitnehmer wäre jedoch jedenfalls sittenwidrig, zumal dies
dem Wesen des Arbeitsvertrages widerspricht.</w:t>
      </w:r>
    </w:p>
    <w:p>
      <w:pPr>
        <w:widowControl w:val="on"/>
        <w:pBdr/>
        <w:spacing w:before="0" w:after="105" w:line="288" w:lineRule="auto"/>
        <w:ind w:left="0" w:right="0"/>
        <w:jc w:val="left"/>
      </w:pPr>
      <w:r>
        <w:rPr>
          <w:rFonts w:ascii="Arial" w:hAnsi="Arial" w:eastAsia="Arial" w:cs="Arial"/>
          <w:b/>
          <w:bCs/>
          <w:color w:val="277DB9"/>
          <w:sz w:val="25"/>
          <w:szCs w:val="25"/>
        </w:rPr>
        <w:t xml:space="preserve">Hinweis:</w:t>
      </w:r>
    </w:p>
    <w:p>
      <w:pPr>
        <w:widowControl w:val="on"/>
        <w:pBdr/>
        <w:spacing w:before="140" w:after="240" w:line="288" w:lineRule="auto"/>
        <w:ind w:left="0" w:right="0"/>
        <w:jc w:val="left"/>
      </w:pPr>
      <w:r>
        <w:rPr>
          <w:rFonts w:ascii="Arial" w:hAnsi="Arial" w:eastAsia="Arial" w:cs="Arial"/>
          <w:color w:val="277DB9"/>
          <w:sz w:val="20"/>
          <w:szCs w:val="20"/>
        </w:rPr>
        <w:t xml:space="preserve">Für den Nachweis zur Inanspruchnahme von steuerfreien
Tagesgeldern sind auch der Beginn und das Ende der Fahrt (Uhrzeit)
im Fahrtenbuch aufzuzeichnen (vgl LStR Rz 290).</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Reisezeit</w:t>
      </w:r>
    </w:p>
    <w:p>
      <w:pPr>
        <w:widowControl w:val="on"/>
        <w:pBdr/>
        <w:spacing w:before="140" w:after="240" w:line="288" w:lineRule="auto"/>
        <w:ind w:left="0" w:right="0"/>
        <w:jc w:val="left"/>
      </w:pPr>
      <w:r>
        <w:rPr>
          <w:rFonts w:ascii="Arial" w:hAnsi="Arial" w:eastAsia="Arial" w:cs="Arial"/>
          <w:color w:val="000000"/>
          <w:sz w:val="20"/>
          <w:szCs w:val="20"/>
        </w:rPr>
        <w:t xml:space="preserve">Reisezeiten sind Arbeitszeiten und keine Freizeit oder Ruhezeit.
Bei aktiver Reisezeit, das ist eine Reisezeit, in der der
Arbeitnehmer stark gefordert ist (zB bei Lenken des Kfz durch den
Arbeitnehmer oder wenn während der Bahnfahrt am Laptop gearbeitet
wird), erhält der Arbeitnehmer das volle Entgelt; passive Reisezeit
(zB eine Reise im Schlafwagen) kann auch geringer entlohnt werden,
sofern dies ausdrücklich vereinbart ist. Sofern dies gewünscht ist,
empfiehlt sich diesbezüglich eine Regelung bei
kollektivvertragsfreiem Bereich in den Arbeitsvertrag (ansonsten im
Kollektivvertrag) aufzunehmen, wobei eine Entgeltschmälerung
während der Normalarbeitszeit nicht zulässig ist, zumal der
Arbeitnehmer auch nur die Zurverfügungstellung der Arbeitskraft
schuldet. Bei Weisung zur Arbeit außerhalb der Normalarbeitszeit
erhält der Arbeitnehmer zusätzlich einen Überstundenzuschlag bei
aktiver Reisezeit. Bei Vorliegen der Reisetätigkeit als dem
ständigen Aufgabenbereich des Arbeitnehmers zugehörig (zB
Außendienstmitarbeiter) stellt die Reisezeit Vollarbeitszeit dar
und ist ungeschmälert zzgl der Überstundenzuschläge zu entlohnen
(OGH 08.11.1989, 9 ObA 281/89).</w:t>
      </w:r>
    </w:p>
    <w:p>
      <w:pPr>
        <w:widowControl w:val="on"/>
        <w:pBdr/>
        <w:spacing w:before="140" w:after="240" w:line="288" w:lineRule="auto"/>
        <w:ind w:left="0" w:right="0"/>
        <w:jc w:val="left"/>
      </w:pPr>
      <w:r>
        <w:rPr>
          <w:rFonts w:ascii="Arial" w:hAnsi="Arial" w:eastAsia="Arial" w:cs="Arial"/>
          <w:color w:val="000000"/>
          <w:sz w:val="20"/>
          <w:szCs w:val="20"/>
        </w:rPr>
        <w:t xml:space="preserve">§ 20b AZG bestimmt in Abs 1 die Reisezeit als jene
Zeit, wenn der Arbeitnehmer über Auftrag des Arbeitgebers
vorübergehend seinen Dienstort (Arbeitsstätte) verlässt, um an
anderen Orten seine Arbeitsleistung zu erbringen, sofern der
Arbeitnehmer während der Reisebewegung keine Arbeitsleistung zu
erbringen hat.</w:t>
      </w:r>
    </w:p>
    <w:p>
      <w:pPr>
        <w:widowControl w:val="on"/>
        <w:pBdr/>
        <w:spacing w:before="140" w:after="240" w:line="288" w:lineRule="auto"/>
        <w:ind w:left="0" w:right="0"/>
        <w:jc w:val="left"/>
      </w:pPr>
      <w:r>
        <w:rPr>
          <w:rFonts w:ascii="Arial" w:hAnsi="Arial" w:eastAsia="Arial" w:cs="Arial"/>
          <w:color w:val="000000"/>
          <w:sz w:val="20"/>
          <w:szCs w:val="20"/>
        </w:rPr>
        <w:t xml:space="preserve">Gem § 20b Abs 2 AZG können durch Reisezeiten die
Höchstgrenzen der Arbeitszeit überschritten werden. § 20b
Abs 3 AZG legte fest, dass bei Bestehen ausreichender
Erholungsmöglichkeiten während der Reisezeit die tägliche Ruhezeit
verkürzt werden kann und durch Kollektivvertrag festgelegt werden
kann, in welchen Fällen ausreichende Erholungsmöglichkeiten
bestehen. Bestehen während der Reisezeit keine ausreichenden
Erholungsmöglichkeiten, kann die tägliche Ruhezeit durch
Kollektivvertrag höchstens auf acht Stunden verkürzt werden. Ergibt
sich dabei am nächsten Arbeitstag ein späterer Arbeitsbeginn als in
der Vereinbarung gem § 19c Abs 1 AZG vorgesehen, ist
die Zeit zwischen dem vorgesehenen und dem tatsächlichen Beginn auf
die Arbeitszeit anzurechnen.</w:t>
      </w:r>
    </w:p>
    <w:p>
      <w:pPr>
        <w:widowControl w:val="on"/>
        <w:pBdr/>
        <w:spacing w:before="140" w:after="240" w:line="288" w:lineRule="auto"/>
        <w:ind w:left="0" w:right="0"/>
        <w:jc w:val="left"/>
      </w:pPr>
      <w:r>
        <w:rPr>
          <w:rFonts w:ascii="Arial" w:hAnsi="Arial" w:eastAsia="Arial" w:cs="Arial"/>
          <w:color w:val="000000"/>
          <w:sz w:val="20"/>
          <w:szCs w:val="20"/>
        </w:rPr>
        <w:t xml:space="preserve">Verkürzungen der täglichen Ruhezeit sind nur zweimal pro
Kalenderwoche zulässig (Abs 5). Verlässt der Arbeitnehmer über
Auftrag des Arbeitgebers seinen Arbeitsort, um an anderen Orten
seine Arbeitsleistung zu erbringen, wird aber während der
Reisebewegung durch das angeordnete Lenken eines Fahrzeugs eine
Arbeitsleistung erbracht, die nicht eine Haupttätigkeit des
Arbeitnehmers darstellt, darf die tägliche Arbeitszeit durch die
Reisebewegung auf bis zu zwölf Stunden ausgedehnt werden.</w:t>
      </w:r>
    </w:p>
    <w:p>
      <w:pPr>
        <w:widowControl w:val="on"/>
        <w:pBdr/>
        <w:spacing w:before="140" w:after="240" w:line="288" w:lineRule="auto"/>
        <w:ind w:left="0" w:right="0"/>
        <w:jc w:val="left"/>
      </w:pPr>
      <w:r>
        <w:rPr>
          <w:rFonts w:ascii="Arial" w:hAnsi="Arial" w:eastAsia="Arial" w:cs="Arial"/>
          <w:color w:val="000000"/>
          <w:sz w:val="20"/>
          <w:szCs w:val="20"/>
        </w:rPr>
        <w:t xml:space="preserve">Unzulässig ist hingegen ein gänzlicher Entfall von täglichen
Ruhezeiten.</w:t>
      </w:r>
    </w:p>
    <w:p>
      <w:pPr>
        <w:widowControl w:val="on"/>
        <w:pBdr/>
        <w:spacing w:before="140" w:after="240" w:line="288" w:lineRule="auto"/>
        <w:ind w:left="0" w:right="0"/>
        <w:jc w:val="left"/>
      </w:pPr>
      <w:r>
        <w:rPr>
          <w:rFonts w:ascii="Arial" w:hAnsi="Arial" w:eastAsia="Arial" w:cs="Arial"/>
          <w:color w:val="000000"/>
          <w:sz w:val="20"/>
          <w:szCs w:val="20"/>
        </w:rPr>
        <w:t xml:space="preserve">Eine Regelung zur Wochend- und Feiertagsruhe findest sich in
§ 10a ARG: Verlässt der Arbeitnehmer über Auftrag des
Arbeitgebers vorübergehend seinen Dienstort (Arbeitsstätte), um an
anderen Orten seine Arbeitsleistung zu erbringen, ist eine
Reisebewegung während der Wochenend- und Feiertagsruhe zulässig,
wenn diese zur Erreichung des Reiseziels notwendig oder im
Interesse des Arbeitnehmers gelegen ist.</w:t>
      </w:r>
    </w:p>
    <w:p>
      <w:pPr>
        <w:widowControl w:val="on"/>
        <w:pBdr/>
        <w:spacing w:before="140" w:after="240" w:line="288" w:lineRule="auto"/>
        <w:ind w:left="0" w:right="0"/>
        <w:jc w:val="left"/>
      </w:pPr>
      <w:r>
        <w:rPr>
          <w:rFonts w:ascii="Arial" w:hAnsi="Arial" w:eastAsia="Arial" w:cs="Arial"/>
          <w:color w:val="000000"/>
          <w:sz w:val="20"/>
          <w:szCs w:val="20"/>
        </w:rPr>
        <w:t xml:space="preserve">§ 10a ARG gilt nicht für Arbeitsverhältnisse, bei denen
Reisen zum ständigen und charakteristischen Aufgabenkreis des
Arbeitnehmers zählt.</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257018">
    <w:multiLevelType w:val="hybridMultilevel"/>
    <w:lvl w:ilvl="0" w:tplc="64566042">
      <w:start w:val="1"/>
      <w:numFmt w:val="decimal"/>
      <w:lvlText w:val="%1."/>
      <w:lvlJc w:val="left"/>
      <w:pPr>
        <w:ind w:left="720" w:hanging="360"/>
      </w:pPr>
    </w:lvl>
    <w:lvl w:ilvl="1" w:tplc="64566042" w:tentative="1">
      <w:start w:val="1"/>
      <w:numFmt w:val="lowerLetter"/>
      <w:lvlText w:val="%2."/>
      <w:lvlJc w:val="left"/>
      <w:pPr>
        <w:ind w:left="1440" w:hanging="360"/>
      </w:pPr>
    </w:lvl>
    <w:lvl w:ilvl="2" w:tplc="64566042" w:tentative="1">
      <w:start w:val="1"/>
      <w:numFmt w:val="lowerRoman"/>
      <w:lvlText w:val="%3."/>
      <w:lvlJc w:val="right"/>
      <w:pPr>
        <w:ind w:left="2160" w:hanging="180"/>
      </w:pPr>
    </w:lvl>
    <w:lvl w:ilvl="3" w:tplc="64566042" w:tentative="1">
      <w:start w:val="1"/>
      <w:numFmt w:val="decimal"/>
      <w:lvlText w:val="%4."/>
      <w:lvlJc w:val="left"/>
      <w:pPr>
        <w:ind w:left="2880" w:hanging="360"/>
      </w:pPr>
    </w:lvl>
    <w:lvl w:ilvl="4" w:tplc="64566042" w:tentative="1">
      <w:start w:val="1"/>
      <w:numFmt w:val="lowerLetter"/>
      <w:lvlText w:val="%5."/>
      <w:lvlJc w:val="left"/>
      <w:pPr>
        <w:ind w:left="3600" w:hanging="360"/>
      </w:pPr>
    </w:lvl>
    <w:lvl w:ilvl="5" w:tplc="64566042" w:tentative="1">
      <w:start w:val="1"/>
      <w:numFmt w:val="lowerRoman"/>
      <w:lvlText w:val="%6."/>
      <w:lvlJc w:val="right"/>
      <w:pPr>
        <w:ind w:left="4320" w:hanging="180"/>
      </w:pPr>
    </w:lvl>
    <w:lvl w:ilvl="6" w:tplc="64566042" w:tentative="1">
      <w:start w:val="1"/>
      <w:numFmt w:val="decimal"/>
      <w:lvlText w:val="%7."/>
      <w:lvlJc w:val="left"/>
      <w:pPr>
        <w:ind w:left="5040" w:hanging="360"/>
      </w:pPr>
    </w:lvl>
    <w:lvl w:ilvl="7" w:tplc="64566042" w:tentative="1">
      <w:start w:val="1"/>
      <w:numFmt w:val="lowerLetter"/>
      <w:lvlText w:val="%8."/>
      <w:lvlJc w:val="left"/>
      <w:pPr>
        <w:ind w:left="5760" w:hanging="360"/>
      </w:pPr>
    </w:lvl>
    <w:lvl w:ilvl="8" w:tplc="64566042" w:tentative="1">
      <w:start w:val="1"/>
      <w:numFmt w:val="lowerRoman"/>
      <w:lvlText w:val="%9."/>
      <w:lvlJc w:val="right"/>
      <w:pPr>
        <w:ind w:left="6480" w:hanging="180"/>
      </w:pPr>
    </w:lvl>
  </w:abstractNum>
  <w:abstractNum w:abstractNumId="25257017">
    <w:multiLevelType w:val="hybridMultilevel"/>
    <w:lvl w:ilvl="0" w:tplc="356526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5257017">
    <w:abstractNumId w:val="25257017"/>
  </w:num>
  <w:num w:numId="25257018">
    <w:abstractNumId w:val="252570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441927821" Type="http://schemas.openxmlformats.org/officeDocument/2006/relationships/numbering" Target="numbering.xml"/><Relationship Id="rId603968607"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