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0113031" w:name="document"/>
    <w:bookmarkEnd w:id="10113031"/>
    <w:p/>
    <w:p>
      <w:pPr>
        <w:widowControl w:val="on"/>
        <w:pBdr/>
        <w:spacing w:before="0" w:after="280" w:line="240" w:lineRule="auto"/>
        <w:ind w:left="0" w:right="0"/>
        <w:jc w:val="left"/>
      </w:pPr>
      <w:r>
        <w:rPr>
          <w:rFonts w:ascii="Arial" w:hAnsi="Arial" w:eastAsia="Arial" w:cs="Arial"/>
          <w:color w:val="363A40"/>
          <w:sz w:val="24"/>
          <w:szCs w:val="24"/>
        </w:rPr>
        <w:t xml:space="preserve">Dokument-ID: 763579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Entlassung – Ehrenbeleidigung</w:t>
      </w:r>
    </w:p>
    <w:p>
      <w:pPr>
        <w:widowControl w:val="on"/>
        <w:pBdr/>
        <w:spacing w:before="140" w:after="240" w:line="288" w:lineRule="auto"/>
        <w:ind w:left="0" w:right="0"/>
        <w:jc w:val="left"/>
      </w:pPr>
      <w:r>
        <w:rPr>
          <w:rFonts w:ascii="Arial" w:hAnsi="Arial" w:eastAsia="Arial" w:cs="Arial"/>
          <w:b/>
          <w:bCs/>
          <w:color w:val="000000"/>
          <w:sz w:val="20"/>
          <w:szCs w:val="20"/>
        </w:rPr>
        <w:t xml:space="preserve">Betrifft: Vorfall vom … [Datum des
Vorfalls]</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Ihr Verhalten vom … [Datum des Vorfalls], namentlich Ihre
Äußerung „Du deppertes Arschloch, mach' Dir Deinen Dreck selber!“
gegen den Mitarbeiter … [Name des Mitarbeiters] zwingt uns dazu,
unverzüglich die Entlassung auszusprechen.</w:t>
      </w:r>
    </w:p>
    <w:p>
      <w:pPr>
        <w:widowControl w:val="on"/>
        <w:pBdr/>
        <w:spacing w:before="140" w:after="240" w:line="288" w:lineRule="auto"/>
        <w:ind w:left="0" w:right="0"/>
        <w:jc w:val="left"/>
      </w:pPr>
      <w:r>
        <w:rPr>
          <w:rFonts w:ascii="Arial" w:hAnsi="Arial" w:eastAsia="Arial" w:cs="Arial"/>
          <w:color w:val="000000"/>
          <w:sz w:val="20"/>
          <w:szCs w:val="20"/>
        </w:rPr>
        <w:t xml:space="preserve">Ihr Dienstverhältnis endet mit sofortiger Wirkung.</w:t>
      </w:r>
    </w:p>
    <w:p>
      <w:pPr>
        <w:widowControl w:val="on"/>
        <w:pBdr/>
        <w:spacing w:before="140" w:after="240" w:line="288" w:lineRule="auto"/>
        <w:ind w:left="0" w:right="0"/>
        <w:jc w:val="left"/>
      </w:pPr>
      <w:r>
        <w:rPr>
          <w:rFonts w:ascii="Arial" w:hAnsi="Arial" w:eastAsia="Arial" w:cs="Arial"/>
          <w:color w:val="000000"/>
          <w:sz w:val="20"/>
          <w:szCs w:val="20"/>
        </w:rPr>
        <w:t xml:space="preserve">Mit der Bitte um Kenntnisnahme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des Dienstgebers]</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In der Regel muss eine Entlassung unverzüglich ausgesprochen
werden. Müssen jedoch noch weitere Auskünfte über die Sach- und
Rechtslage eingeholt werden, dann empfiehlt es sich den
Arbeitnehmer vom Dienst unverzüglich zu suspendieren (Ausspruch
einer bedingten Entlassung). Dadurch wird das Entlassungsrecht
nicht verwirkt (vgl OGH 8 ObA 24/20t).</w:t>
      </w:r>
    </w:p>
    <w:p>
      <w:pPr>
        <w:widowControl w:val="on"/>
        <w:pBdr/>
        <w:spacing w:before="140" w:after="240" w:line="288" w:lineRule="auto"/>
        <w:ind w:left="0" w:right="0"/>
        <w:jc w:val="left"/>
      </w:pPr>
      <w:r>
        <w:rPr>
          <w:rFonts w:ascii="Arial" w:hAnsi="Arial" w:eastAsia="Arial" w:cs="Arial"/>
          <w:color w:val="000000"/>
          <w:sz w:val="20"/>
          <w:szCs w:val="20"/>
        </w:rPr>
        <w:t xml:space="preserve">Ein Dienstgeber ist zur vorzeitigen Entlassung berechtigt, wenn
der Angestellte sich Tätlichkeiten, Verletzungen der Sittlichkeit
oder erhebliche Ehrverletzungen gegen den Dienstgeber, dessen
Stellvertreter, deren Angehörige oder gegen Mitbedienstete
zuschulden kommen lässt (§ 27 Z 6 AngG).</w:t>
      </w:r>
    </w:p>
    <w:p>
      <w:pPr>
        <w:widowControl w:val="on"/>
        <w:pBdr/>
        <w:spacing w:before="140" w:after="240" w:line="288" w:lineRule="auto"/>
        <w:ind w:left="0" w:right="0"/>
        <w:jc w:val="left"/>
      </w:pPr>
      <w:r>
        <w:rPr>
          <w:rFonts w:ascii="Arial" w:hAnsi="Arial" w:eastAsia="Arial" w:cs="Arial"/>
          <w:color w:val="000000"/>
          <w:sz w:val="20"/>
          <w:szCs w:val="20"/>
        </w:rPr>
        <w:t xml:space="preserve">Der Tatbestand der erheblichen Ehrverletzung ist dann gegeben,
wenn</w:t>
      </w:r>
    </w:p>
    <w:p>
      <w:pPr>
        <w:numPr>
          <w:ilvl w:val="0"/>
          <w:numId w:val="98238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Äußerung einerseits objektiv geeignet ist, ehrverletzend
zu wirken und andererseits</w:t>
      </w:r>
    </w:p>
    <w:p>
      <w:pPr>
        <w:numPr>
          <w:ilvl w:val="0"/>
          <w:numId w:val="98238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Wirkung im konkreten Fall auch gehabt hat.</w:t>
      </w:r>
    </w:p>
    <w:p>
      <w:pPr>
        <w:widowControl w:val="on"/>
        <w:pBdr/>
        <w:spacing w:before="140" w:after="240" w:line="288" w:lineRule="auto"/>
        <w:ind w:left="0" w:right="0"/>
        <w:jc w:val="left"/>
      </w:pPr>
      <w:r>
        <w:rPr>
          <w:rFonts w:ascii="Arial" w:hAnsi="Arial" w:eastAsia="Arial" w:cs="Arial"/>
          <w:color w:val="000000"/>
          <w:sz w:val="20"/>
          <w:szCs w:val="20"/>
        </w:rPr>
        <w:t xml:space="preserve">Beide Voraussetzungen müssen gemeinsam vorliegen.</w:t>
      </w:r>
    </w:p>
    <w:p>
      <w:pPr>
        <w:widowControl w:val="on"/>
        <w:pBdr/>
        <w:spacing w:before="140" w:after="240" w:line="288" w:lineRule="auto"/>
        <w:ind w:left="0" w:right="0"/>
        <w:jc w:val="left"/>
      </w:pPr>
      <w:r>
        <w:rPr>
          <w:rFonts w:ascii="Arial" w:hAnsi="Arial" w:eastAsia="Arial" w:cs="Arial"/>
          <w:color w:val="000000"/>
          <w:sz w:val="20"/>
          <w:szCs w:val="20"/>
        </w:rPr>
        <w:t xml:space="preserve">Zusätzlich muss eine Verletzungsabsicht in Bezug auf die
betroffene Person vorliegen. Wesentliches Kriterium für die
Beurteilung einer erheblichen Ehrverletzung ist auch, ob die
Ehrenbeleidigung – nach der Art und den Umständen – von einem
Menschen mit normalem Ehrgefühl nicht anders als mit dem Abbruch
der Beziehungen beantwortet werden kann.</w:t>
      </w:r>
    </w:p>
    <w:p>
      <w:pPr>
        <w:widowControl w:val="on"/>
        <w:pBdr/>
        <w:spacing w:before="140" w:after="240" w:line="288" w:lineRule="auto"/>
        <w:ind w:left="0" w:right="0"/>
        <w:jc w:val="left"/>
      </w:pPr>
      <w:r>
        <w:rPr>
          <w:rFonts w:ascii="Arial" w:hAnsi="Arial" w:eastAsia="Arial" w:cs="Arial"/>
          <w:color w:val="000000"/>
          <w:sz w:val="20"/>
          <w:szCs w:val="20"/>
        </w:rPr>
        <w:t xml:space="preserve">Zu berücksichtigen ist auch immer die Stellung des Arbeitnehmers
im Betrieb sowie die Gelegenheit, bei der die Äußerung fiel. Eine
Ehrverletzung als Entlassungsgrund ist auch anders zu beurteilen,
wenn der ehrverletzenden Äußerung eine Provokation oder
unangemessenes Verhalten des Dienstgebers vorangegangen ist. In
einem solchen Fall kann auch eine erhebliche Ehrverletzung
entschuldbar sein und damit den Charakter eines
Entlassungstatbestandes verlieren. Wird die Äußerung nicht in
Beleidigungsabsicht vorgebracht und soll sie der Wahrung
berechtigter Interessen des Dienstnehmers dienen, liegt in der
Regel kein Entlassungsgrund vor, auch wenn die Äußerung objektiv
geeignet war, ehrverletzend zu sein.</w:t>
      </w:r>
    </w:p>
    <w:p>
      <w:pPr>
        <w:widowControl w:val="on"/>
        <w:pBdr/>
        <w:spacing w:before="140" w:after="240" w:line="288" w:lineRule="auto"/>
        <w:ind w:left="0" w:right="0"/>
        <w:jc w:val="left"/>
      </w:pPr>
      <w:r>
        <w:rPr>
          <w:rFonts w:ascii="Arial" w:hAnsi="Arial" w:eastAsia="Arial" w:cs="Arial"/>
          <w:color w:val="000000"/>
          <w:sz w:val="20"/>
          <w:szCs w:val="20"/>
        </w:rPr>
        <w:t xml:space="preserve">Sexuelle Belästigung ist anzunehmen, wenn ein der sexuellen
Sphäre zugehöriges Verhalten gesetzt wird, das</w:t>
      </w:r>
    </w:p>
    <w:p>
      <w:pPr>
        <w:numPr>
          <w:ilvl w:val="0"/>
          <w:numId w:val="7077387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Würde einer Person beeinträchtigt,</w:t>
      </w:r>
    </w:p>
    <w:p>
      <w:pPr>
        <w:numPr>
          <w:ilvl w:val="0"/>
          <w:numId w:val="7077387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betroffene Person unerwünscht, unangebracht oder
anstößig ist</w:t>
      </w:r>
    </w:p>
    <w:p>
      <w:pPr>
        <w:numPr>
          <w:ilvl w:val="0"/>
          <w:numId w:val="7077387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und eine einschüchternde, feindselige oder demütigende
Arbeitsumwelt für die betroffene Person schafft.</w:t>
      </w:r>
    </w:p>
    <w:p>
      <w:pPr>
        <w:widowControl w:val="on"/>
        <w:pBdr/>
        <w:spacing w:before="140" w:after="240" w:line="288" w:lineRule="auto"/>
        <w:ind w:left="0" w:right="0"/>
        <w:jc w:val="left"/>
      </w:pPr>
      <w:r>
        <w:rPr>
          <w:rFonts w:ascii="Arial" w:hAnsi="Arial" w:eastAsia="Arial" w:cs="Arial"/>
          <w:color w:val="000000"/>
          <w:sz w:val="20"/>
          <w:szCs w:val="20"/>
        </w:rPr>
        <w:t xml:space="preserve">Unter sexuelle Belästigungen fallen Handlungen, die geeignet
sind, die soziale Wertschätzung der betroffenen Frauen durch
Verletzung ihrer Intimsphäre und der sexuellen Integrität im
Betrieb herabzusetzen und deren Ehrgefühl grob zu verletzen.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Entlassungsgründe</w:t>
      </w:r>
    </w:p>
    <w:p>
      <w:pPr>
        <w:widowControl w:val="on"/>
        <w:pBdr/>
        <w:spacing w:before="140" w:after="240" w:line="288" w:lineRule="auto"/>
        <w:ind w:left="0" w:right="0"/>
        <w:jc w:val="left"/>
      </w:pPr>
      <w:r>
        <w:rPr>
          <w:rFonts w:ascii="Arial" w:hAnsi="Arial" w:eastAsia="Arial" w:cs="Arial"/>
          <w:color w:val="277DB9"/>
          <w:sz w:val="20"/>
          <w:szCs w:val="20"/>
        </w:rPr>
        <w:t xml:space="preserve">Beschimpft ein Arbeitnehmer, dem bei der Gehaltsauszahlung ein
Vorschuss abgezogen wurde, den Geschäftsführer im Büro unter vier
Augen mit: „Ich will jetzt mein Geld, sonst kriegst a Watschn, du
Arschloch!“ und am darauf folgenden Tag anlässlich eines zufälligen
Zusammentreffens in einem Lokal mit: „Wannst weiter deppert bist,
du Arschloch, leg ich dir eine auf!“, so liegt ein Entlassungsgrund
vor (ASG Wien, 21 Cga 222/02y, 27.06.2003).</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fordert seinen Arbeitgeber auf, er solle
„kusch“ sein und nicht „blöd reden“. Es liegt eine grobe
Ehrverletzung vor. Jedoch trifft den Arbeitgeber an der Entlassung
ein erhebliches Mitverschulden, wenn dieser gegenüber dem
Arbeitnehmer bemerkt, er solle nicht nur fernsehen, sondern auch
Zeitung lesen, und ihm somit mangelnde Bildung unterstellt. Diese
Aussage ist geeignet, eine heftigere Antwort zu provozieren (ASG
Wien 29 Cga 100/96d, 15.04.1997).</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stellt die Behauptung auf, der Arbeitgeber
gestalte die Arbeitszeit wie Adolf Hitler (OGH 08.07.1999, 8 ObA
45/99x).</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äußert sich gegenüber seinem Vorgesetzten mit
den Worten: „Du bist nix, du hast mir nix zu sagen!“ Auch in diesem
Fall liegt eine erhebliche Ehrverletzung vor (OLG Wien, 10 Ra
151/05g, 27.02.2006).</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hält gegen eine Kollegin gegen ihren Willen
fest und fügt ihr dabei einen Kratzer und Blutunterlaufungen zu
(OGH 27.02.1991, 9 ObA 40/91).</w:t>
      </w:r>
    </w:p>
    <w:p>
      <w:pPr>
        <w:widowControl w:val="on"/>
        <w:pBdr/>
        <w:spacing w:before="140" w:after="240" w:line="288" w:lineRule="auto"/>
        <w:ind w:left="0" w:right="0"/>
        <w:jc w:val="left"/>
      </w:pPr>
      <w:r>
        <w:rPr>
          <w:rFonts w:ascii="Arial" w:hAnsi="Arial" w:eastAsia="Arial" w:cs="Arial"/>
          <w:color w:val="277DB9"/>
          <w:sz w:val="20"/>
          <w:szCs w:val="20"/>
        </w:rPr>
        <w:t xml:space="preserve">Der Arbeitnehmer wurde entlassen, nachdem dem Vertreter des
Dienstgebers bekannt geworden war, dass der Arbeitnehmer eine
ebenfalls an der Schule tätige Reinigungskraft sexuell belästigt
hatte, einmal, indem er sie am Pullover gezogen, ein anderes Mal,
indem er ihr in den Ausschnitt gegriffen hatte (OGH 26.05.2004, 9
ObA 64/04h).</w:t>
      </w:r>
    </w:p>
    <w:p>
      <w:pPr>
        <w:widowControl w:val="on"/>
        <w:pBdr/>
        <w:spacing w:before="140" w:after="240" w:line="288" w:lineRule="auto"/>
        <w:ind w:left="0" w:right="0"/>
        <w:jc w:val="left"/>
      </w:pPr>
      <w:r>
        <w:rPr>
          <w:rFonts w:ascii="Arial" w:hAnsi="Arial" w:eastAsia="Arial" w:cs="Arial"/>
          <w:color w:val="277DB9"/>
          <w:sz w:val="20"/>
          <w:szCs w:val="20"/>
        </w:rPr>
        <w:t xml:space="preserve">Auch wenn die Beschimpfung in einer Fremdsprache („Hure“ und
„Arschloch“) erfolgt, ist der Tatbestand der groben Ehrverletzung
erfüllt und eine Entlassung gerechtfertigt. Dabei spielt es keine
Rolle, dass ein zufällig anwesender Mitarbeiter, die Beleidigungen
mangels türkischer Sprachkenntnis, nicht verstanden hat. Das ASG
ist zur Erkenntnis gelangt, dass es ausreicht, dass die
Vorgesetzte, die Beleidigungen bzw Schimpfworte des türkischen
Arbeitnehmers verstanden hat (ASG Wien, 34 Cga 23/11t,
12.09.2011).</w:t>
      </w:r>
    </w:p>
    <w:p>
      <w:pPr>
        <w:widowControl w:val="on"/>
        <w:pBdr/>
        <w:spacing w:before="140" w:after="240" w:line="288" w:lineRule="auto"/>
        <w:ind w:left="0" w:right="0"/>
        <w:jc w:val="left"/>
      </w:pPr>
      <w:r>
        <w:rPr>
          <w:rFonts w:ascii="Arial" w:hAnsi="Arial" w:eastAsia="Arial" w:cs="Arial"/>
          <w:color w:val="277DB9"/>
          <w:sz w:val="20"/>
          <w:szCs w:val="20"/>
        </w:rPr>
        <w:t xml:space="preserve">Aussagen wie „Sie können nicht mitreden, denn Sie verstehen
nichts von der Arbeit“ gegenüber Vorgesetzten und „Sie haben eh
nichts zu tun“ gegenüber der Leiterin der Personalabteilung,
erfüllen den Tatbestand der Ehrverletzung. Die Arbeitnehmerin hat
in diesem Fall ihren Vorgesetzten fachliche Inkompetenz und der
Leiterin des Personalmanagements Faulheit vorgeworfen (ASG Wien, 39
Cga 50/11z, 22.10.2012).</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bezichtigt seinen Vorgesetzten der Lüge, der
Manipulation von Lieferscheinen und der falschen Zeugenaussage. Dem
Arbeitnehmer ist jedoch nicht gelungen, auch nur das Vorliegen
hinreichender, objektiv nachvollziehbarer Verdachtsgründe für die
Richtigkeit seiner Anschuldigungen zu beweisen. Hinsichtlich des
Vorwurfs der falschen Zeugenaussage hat er nicht einmal den Versuch
dazu angetreten (OGH 26.07.2012, 8 ObA 90/11k).</w:t>
      </w:r>
    </w:p>
    <w:p>
      <w:pPr>
        <w:widowControl w:val="on"/>
        <w:pBdr/>
        <w:spacing w:before="140" w:after="240" w:line="288" w:lineRule="auto"/>
        <w:ind w:left="0" w:right="0"/>
        <w:jc w:val="left"/>
      </w:pPr>
      <w:r>
        <w:rPr>
          <w:rFonts w:ascii="Arial" w:hAnsi="Arial" w:eastAsia="Arial" w:cs="Arial"/>
          <w:color w:val="277DB9"/>
          <w:sz w:val="20"/>
          <w:szCs w:val="20"/>
        </w:rPr>
        <w:t xml:space="preserve">Eine nicht entschuldbare grobe Ehrenbeleidigung stellt auch die
Aussage „Ich wünsche ihm einen Schlaganfall, sodass er zehn Jahre
im Wachkoma liegt … damit er sieht, wer ihn aller anspucken wird,
und da muss man sich wahrscheinlich anstellen“ dar (OGH 9 ObA
92/19y).</w:t>
      </w:r>
    </w:p>
    <w:p>
      <w:pPr>
        <w:widowControl w:val="on"/>
        <w:pBdr/>
        <w:spacing w:before="140" w:after="240" w:line="288" w:lineRule="auto"/>
        <w:ind w:left="0" w:right="0"/>
        <w:jc w:val="left"/>
      </w:pPr>
      <w:r>
        <w:rPr>
          <w:rFonts w:ascii="Arial" w:hAnsi="Arial" w:eastAsia="Arial" w:cs="Arial"/>
          <w:color w:val="277DB9"/>
          <w:sz w:val="20"/>
          <w:szCs w:val="20"/>
        </w:rPr>
        <w:t xml:space="preserve">Der unwahre Vorwurf eines Dienstnehmers, dass ein Kollege
während der Arbeitszeit Drogen konsumiert (OLG Wien 9 Ra 36/21m in
ARD 6775/12/2021).</w:t>
      </w:r>
    </w:p>
    <w:p>
      <w:pPr>
        <w:widowControl w:val="on"/>
        <w:pBdr/>
        <w:spacing w:before="140" w:after="240" w:line="288" w:lineRule="auto"/>
        <w:ind w:left="0" w:right="0"/>
        <w:jc w:val="left"/>
      </w:pPr>
      <w:r>
        <w:rPr>
          <w:rFonts w:ascii="Arial" w:hAnsi="Arial" w:eastAsia="Arial" w:cs="Arial"/>
          <w:color w:val="277DB9"/>
          <w:sz w:val="20"/>
          <w:szCs w:val="20"/>
        </w:rPr>
        <w:t xml:space="preserve">Ein Dienstnehmer, der seinen Kollegen als „Trottel“ beschimpft,
die in einem gegenseitigen Schlagabtausch, Würgegriffen am Hals und
Faustschlägen ins Gesicht endet, rechtfertigt die Entlassung wegen
grober Ehrenbeleidigung und Körperverletzung (OLG Innsbruck 13 Ra
21/23w in ARD 6873/8/2023).</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Keine Entlassungsgründe</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macht wiederholt seinem Unmut mit
Unmutsäußerungen wie „Drecksarbeit“ oder „Scheißfirma“ Luft. Dies
ist seit Jahren im ganzen Unternehmen bekannt. Der Arbeitgeber nahm
diese Äußerungen nicht besonders ernst und tolerierte diese. Es
konnte auch nicht festgestellt werden, dass die Äußerungen in der
Absicht erfolgten, eine bestimmte Person zu beleidigen. In Hinblick
auch auf die sonst anstandslose Arbeitsverrichtung des
Arbeitnehmers fehlt es an der erforderlichen Erheblichkeit eines
Entlassungsgrundes (OGH 22.10.1997, 9 ObA 162/97g).</w:t>
      </w:r>
    </w:p>
    <w:p>
      <w:pPr>
        <w:widowControl w:val="on"/>
        <w:pBdr/>
        <w:spacing w:before="140" w:after="240" w:line="288" w:lineRule="auto"/>
        <w:ind w:left="0" w:right="0"/>
        <w:jc w:val="left"/>
      </w:pPr>
      <w:r>
        <w:rPr>
          <w:rFonts w:ascii="Arial" w:hAnsi="Arial" w:eastAsia="Arial" w:cs="Arial"/>
          <w:color w:val="277DB9"/>
          <w:sz w:val="20"/>
          <w:szCs w:val="20"/>
        </w:rPr>
        <w:t xml:space="preserve">Im Gegensatz zur Formulierung „Arschloch“ muss der Begriff
„Arschkriecher“ noch keine Ehrverletzung sein (OLG Wien 29.6.1999,
8 Ra 161/99a).</w:t>
      </w:r>
    </w:p>
    <w:p>
      <w:pPr>
        <w:widowControl w:val="on"/>
        <w:pBdr/>
        <w:spacing w:before="140" w:after="240" w:line="288" w:lineRule="auto"/>
        <w:ind w:left="0" w:right="0"/>
        <w:jc w:val="left"/>
      </w:pPr>
      <w:r>
        <w:rPr>
          <w:rFonts w:ascii="Arial" w:hAnsi="Arial" w:eastAsia="Arial" w:cs="Arial"/>
          <w:color w:val="277DB9"/>
          <w:sz w:val="20"/>
          <w:szCs w:val="20"/>
        </w:rPr>
        <w:t xml:space="preserve">Die einmalige verbale Entgleisung eines Dienstnehmers gegenüber
einem 19-jährigen weiblichen Lehrling („Du schaust aus, wie waunst
14 Tog durchgschnackselst hättst.“), womit dieser „scherzhaft“
deren zerzaustes Aussehen der Haare kommentieren wollte,
rechtfertigt noch keine Entlassung (OGH 29.09.2010, 9 ObA
13/10t).</w:t>
      </w:r>
    </w:p>
    <w:p>
      <w:pPr>
        <w:widowControl w:val="on"/>
        <w:pBdr/>
        <w:spacing w:before="140" w:after="240" w:line="288" w:lineRule="auto"/>
        <w:ind w:left="0" w:right="0"/>
        <w:jc w:val="left"/>
      </w:pPr>
      <w:r>
        <w:rPr>
          <w:rFonts w:ascii="Arial" w:hAnsi="Arial" w:eastAsia="Arial" w:cs="Arial"/>
          <w:color w:val="277DB9"/>
          <w:sz w:val="20"/>
          <w:szCs w:val="20"/>
        </w:rPr>
        <w:t xml:space="preserve">Wenn eine grobe Ehrenbeleidigung (in diesem Fall: „Du bist
sowieso der Obertrottel“) nur infolge einer gerechtfertigten
Entrüstung des betreffenden Arbeitnehmers über ein vorausgegangenes
Verhalten des Beleidigten in einer den Umständen nach
entschuldbaren Weise erfolgt, fehlt es an der eine Voraussetzung
für eine gerechtfertigte Entlassung (OGH 26.2.2014, 9 ObA
21/14z).</w:t>
      </w:r>
    </w:p>
    <w:p>
      <w:pPr>
        <w:widowControl w:val="on"/>
        <w:pBdr/>
        <w:spacing w:before="140" w:after="240" w:line="288" w:lineRule="auto"/>
        <w:ind w:left="0" w:right="0"/>
        <w:jc w:val="left"/>
      </w:pPr>
      <w:r>
        <w:rPr>
          <w:rFonts w:ascii="Arial" w:hAnsi="Arial" w:eastAsia="Arial" w:cs="Arial"/>
          <w:color w:val="277DB9"/>
          <w:sz w:val="20"/>
          <w:szCs w:val="20"/>
        </w:rPr>
        <w:t xml:space="preserve">Einmalige abfällige Äußerungen in einem Telefongespräch
rechtfertigen noch keine Entlassung. Es ist erforderlich, dass der
Arbeitnehmer zuvor entsprechend abgemahnt wurde (vgl OGH 9 ObA
105/22i).</w:t>
      </w:r>
    </w:p>
    <w:p>
      <w:pPr>
        <w:widowControl w:val="on"/>
        <w:pBdr/>
        <w:spacing w:before="0" w:after="105" w:line="288" w:lineRule="auto"/>
        <w:ind w:left="0" w:right="0"/>
        <w:jc w:val="left"/>
      </w:pPr>
      <w:r>
        <w:rPr>
          <w:rFonts w:ascii="Arial" w:hAnsi="Arial" w:eastAsia="Arial" w:cs="Arial"/>
          <w:b/>
          <w:bCs/>
          <w:color w:val="277DB9"/>
          <w:sz w:val="25"/>
          <w:szCs w:val="25"/>
        </w:rPr>
        <w:t xml:space="preserve">Achtung:</w:t>
      </w:r>
    </w:p>
    <w:p>
      <w:pPr>
        <w:widowControl w:val="on"/>
        <w:pBdr/>
        <w:spacing w:before="140" w:after="240" w:line="288" w:lineRule="auto"/>
        <w:ind w:left="0" w:right="0"/>
        <w:jc w:val="left"/>
      </w:pPr>
      <w:r>
        <w:rPr>
          <w:rFonts w:ascii="Arial" w:hAnsi="Arial" w:eastAsia="Arial" w:cs="Arial"/>
          <w:color w:val="277DB9"/>
          <w:sz w:val="20"/>
          <w:szCs w:val="20"/>
        </w:rPr>
        <w:t xml:space="preserve">Berechtigte Kritik an der Unternehmensführung oder am
Unternehmen fällt nicht unter Ehrenbeleidigung und rechtfertigt
nicht eine Entlassung.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73873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238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241911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666062">
    <w:multiLevelType w:val="hybridMultilevel"/>
    <w:lvl w:ilvl="0" w:tplc="17462126">
      <w:start w:val="1"/>
      <w:numFmt w:val="decimal"/>
      <w:lvlText w:val="%1."/>
      <w:lvlJc w:val="left"/>
      <w:pPr>
        <w:ind w:left="720" w:hanging="360"/>
      </w:pPr>
    </w:lvl>
    <w:lvl w:ilvl="1" w:tplc="17462126" w:tentative="1">
      <w:start w:val="1"/>
      <w:numFmt w:val="lowerLetter"/>
      <w:lvlText w:val="%2."/>
      <w:lvlJc w:val="left"/>
      <w:pPr>
        <w:ind w:left="1440" w:hanging="360"/>
      </w:pPr>
    </w:lvl>
    <w:lvl w:ilvl="2" w:tplc="17462126" w:tentative="1">
      <w:start w:val="1"/>
      <w:numFmt w:val="lowerRoman"/>
      <w:lvlText w:val="%3."/>
      <w:lvlJc w:val="right"/>
      <w:pPr>
        <w:ind w:left="2160" w:hanging="180"/>
      </w:pPr>
    </w:lvl>
    <w:lvl w:ilvl="3" w:tplc="17462126" w:tentative="1">
      <w:start w:val="1"/>
      <w:numFmt w:val="decimal"/>
      <w:lvlText w:val="%4."/>
      <w:lvlJc w:val="left"/>
      <w:pPr>
        <w:ind w:left="2880" w:hanging="360"/>
      </w:pPr>
    </w:lvl>
    <w:lvl w:ilvl="4" w:tplc="17462126" w:tentative="1">
      <w:start w:val="1"/>
      <w:numFmt w:val="lowerLetter"/>
      <w:lvlText w:val="%5."/>
      <w:lvlJc w:val="left"/>
      <w:pPr>
        <w:ind w:left="3600" w:hanging="360"/>
      </w:pPr>
    </w:lvl>
    <w:lvl w:ilvl="5" w:tplc="17462126" w:tentative="1">
      <w:start w:val="1"/>
      <w:numFmt w:val="lowerRoman"/>
      <w:lvlText w:val="%6."/>
      <w:lvlJc w:val="right"/>
      <w:pPr>
        <w:ind w:left="4320" w:hanging="180"/>
      </w:pPr>
    </w:lvl>
    <w:lvl w:ilvl="6" w:tplc="17462126" w:tentative="1">
      <w:start w:val="1"/>
      <w:numFmt w:val="decimal"/>
      <w:lvlText w:val="%7."/>
      <w:lvlJc w:val="left"/>
      <w:pPr>
        <w:ind w:left="5040" w:hanging="360"/>
      </w:pPr>
    </w:lvl>
    <w:lvl w:ilvl="7" w:tplc="17462126" w:tentative="1">
      <w:start w:val="1"/>
      <w:numFmt w:val="lowerLetter"/>
      <w:lvlText w:val="%8."/>
      <w:lvlJc w:val="left"/>
      <w:pPr>
        <w:ind w:left="5760" w:hanging="360"/>
      </w:pPr>
    </w:lvl>
    <w:lvl w:ilvl="8" w:tplc="17462126" w:tentative="1">
      <w:start w:val="1"/>
      <w:numFmt w:val="lowerRoman"/>
      <w:lvlText w:val="%9."/>
      <w:lvlJc w:val="right"/>
      <w:pPr>
        <w:ind w:left="6480" w:hanging="180"/>
      </w:pPr>
    </w:lvl>
  </w:abstractNum>
  <w:abstractNum w:abstractNumId="21666061">
    <w:multiLevelType w:val="hybridMultilevel"/>
    <w:lvl w:ilvl="0" w:tplc="14169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66061">
    <w:abstractNumId w:val="21666061"/>
  </w:num>
  <w:num w:numId="21666062">
    <w:abstractNumId w:val="21666062"/>
  </w:num>
  <w:num w:numId="624191173">
    <w:abstractNumId w:val="624191173"/>
  </w:num>
  <w:num w:numId="9823873">
    <w:abstractNumId w:val="9823873"/>
  </w:num>
  <w:num w:numId="707738734">
    <w:abstractNumId w:val="7077387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9055515" Type="http://schemas.openxmlformats.org/officeDocument/2006/relationships/numbering" Target="numbering.xml"/><Relationship Id="rId33230073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