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6935888" w:name="document"/>
    <w:bookmarkEnd w:id="96935888"/>
    <w:p/>
    <w:p>
      <w:pPr>
        <w:widowControl w:val="on"/>
        <w:pBdr/>
        <w:spacing w:before="0" w:after="280" w:line="240" w:lineRule="auto"/>
        <w:ind w:left="0" w:right="0"/>
        <w:jc w:val="left"/>
      </w:pPr>
      <w:r>
        <w:rPr>
          <w:rFonts w:ascii="Arial" w:hAnsi="Arial" w:eastAsia="Arial" w:cs="Arial"/>
          <w:color w:val="363A40"/>
          <w:sz w:val="24"/>
          <w:szCs w:val="24"/>
        </w:rPr>
        <w:t xml:space="preserve">Dokument-ID: 672232 | Andrea Futterknecht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Internationale Scheidung nach Rom III – Bestimmung des
Rechts</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Bestimmung des anzuwendenden Scheidungsrechts:</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Rechtswahl</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Art 5 eröffnet den Ehegatten die Möglichkeit einer
Rechtswahl. Das österreichische Kollisionsrecht ließ diese
Möglichkeit bislang nicht zu (vgl § 11 Abs 1 IPRG). Die
Rechtswahlmöglichkeit ist allerdings beschränkt. Gewählt werden
kann das Recht des Staats,
</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dem die Ehegatten zum Zeitpunkt der Rechtswahl ihren
gewöhnlichen Aufenthalt haben, oder</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dem die Ehegatten zuletzt ihren gewöhnlichen Aufenthalt
hatten, sofern einer von ihnen zum Zeitpunkt der Rechtswahl dort
noch seinen gewöhnlichen Aufenthalt hat, oder</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dessen Staatsangehörigkeit einer der Ehegatten zum Zeitpunkt
der Rechtswahl besitzt, oder</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Recht des Staates des angerufenen Gerichts.</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Rechtswahl kann jederzeit, spätestens jedoch –
vorbehaltlich des Art 5 Abs 3 – zum Zeitpunkt der
Anrufung des Gerichts getroffen oder geändert werden. Die Frage, ob
eine Rechtswahl von Verlobten, etwa in einem Ehevertrag, in
Hinblick auf die künftige Eheschließung möglich ist, sollte demnach
bejaht werden, vorausgesetzt das gewählte Recht entspricht im
Zeitpunkt der Eheschließung einem der Fälle des Art 5
Abs 1.</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Art 5 Abs 3 können die Ehegatten die Rechtswahl
vor Gericht noch im laufenden Verfahren vornehmen, sofern das Recht
des Staates des angerufenen Gerichts dies zulässt. Für Österreich
ist diese Möglichkeit in Hinblick auf § 11 Abs 2 IPRG zu
bejahen. Das Gericht hat diesfalls die Rechtswahl zu
protokollieren, was den Formanforderungen der Rechtswahl genügt
(vgl Art 5 Abs 1, der das allgemeine Formgebot nur für
die Rechtswahlvereinbarung nach Art 5 Abs 1 und 2
vorsieht). Daher kann ab dem 21.06.2012 in laufenden
Scheidungsverfahren vor österreichischen Gerichten das
österreichische Scheidungsrecht gewählt werden. Auch
einvernehmliche Scheidungen von Ehegatten mit fremdem
Personalstatut können nun aufgrund einer Rechtswahl des
österreichischen Rechts „sauber“ nach österreichischem Recht
durchgeführt werden. Die bislang in der Praxis (angeblich) geübte
Methode, die unrichtige Anwendung österreichischen Scheidungsrechts
durch einen Rechtsmittelverzicht zu sanieren, ist damit
überflüssig.</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Formgültigkeit der Rechtswahlvereinbarung verlangt
Art 7 Abs 1 Schriftlichkeit, Datierung und Unterschriften
der Parteien. Sollte das Recht eines teilnehmender Mitgliedstaat,
in dem beide Ehegatten zum Zeitpunkt der Rechtswahl ihren
gewöhnlichen Aufenthalt haben, zusätzliche Formerfordernisse
vorsehen, so sind diese anzuwenden (Art 7 Abs 2), bei
Aufenthalt in verschiedenen teilnehmender Mitgliedstaat genügt die
Einhaltung der (zusätzlichen) Formvorschriften eines der
teilnehmender Mitgliedstaat (Art 7 Abs 3), bei Aufenthalt
nur eines Ehegatten in einem teilnehmender Mitgliedstaat dessen
zusätzliche Formvorschriften (Art 7 Abs 4). Nach
österreichischem Recht bestehen zusätzliche Formerfordernisse für
eine Rechtswahl nicht.</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Mangels Rechtswahl anwendbares Recht</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Während §§ 18, 20 IPRG primär auf die Staatsangehörigkeit
(Personalstatut) der Ehegatten abgestellt und nur hilfsweise das
Recht des Staats des gewöhnlichen Aufenthalts zur Anwendung berufen
haben, kehrt die Rom III-VO diesen Grundsatz um. Mangels einer
Rechtswahl unterliegt die Ehescheidung gem Art 8
</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in dem die Ehegatten zum Zeitpunkt der
Anrufung des Gerichts ihren gewöhnlichen Aufenthalt haben, oder
andernfalls</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in dem die Ehegatten zuletzt ihren
gewöhnlichen Aufenthalt hatten, sofern dieser nicht vor mehr als
einem Jahr vor Anrufung des Gerichts endete und einer der Ehegatten
zum Zeitpunkt der Anrufung des Gerichts dort noch seinen
gewöhnlichen Aufenthalt hat, oder andernfalls</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dessen Staatsangehörigkeit beide
Ehegatten zum Zeitpunkt der Anrufung des Gerichts besitzen, oder
andernfalls</w:t>
      </w:r>
    </w:p>
    <w:p>
      <w:pPr>
        <w:numPr>
          <w:ilvl w:val="1"/>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Recht des Staats des angerufenen Gerichts.</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Verweisung ist eine Sachnormverweisung (Art 11)! Die
Prüfung des ausländischen Scheidungskollisionsrechts auf eine Rück-
oder Weiterverweisung (§ 5 IPRG) ist damit obsolet. Das Recht,
auf das Art 8 verweist, kommt ohne Prüfung weiterer Schritte
zur Anwendung. Die Anwendung einer Vorschrift des so berufenen
Rechts kann nur versagt werden, wenn ihre Anwendung mit der
öffentlichen Ordnung (ordre public) des Staats des angerufenen
Gerichts unvereinbar wäre (Art 12).</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besondere Spielart des ordre public sehen die Art 10
und 13 vor. Sieht das anzuwendende Recht überhaupt keine
Ehescheidung vor oder „gewährt es einem der Ehegatten aufgrund
seiner Geschlechtszugehörigkeit keinen gleichberechtigten Zugang“
zur Ehescheidung, so ist das Recht des angerufenen Gerichts
anzuwenden (Art 10). Umgekehrt ist das Gericht eines
teilnehmenden Mitgliedstaates, nach dessen Recht die Ehescheidung
nicht vorgesehen ist oder das die Ehe als nicht gültig ansieht,
nicht verpflichtet, eine Ehescheidung in Anwendung der VO
auszusprechen (sog „</w:t>
      </w:r>
      <w:r>
        <w:rPr>
          <w:rFonts w:ascii="Arial" w:hAnsi="Arial" w:eastAsia="Arial" w:cs="Arial"/>
          <w:i/>
          <w:iCs/>
          <w:color w:val="000000"/>
          <w:sz w:val="20"/>
          <w:szCs w:val="20"/>
        </w:rPr>
        <w:t xml:space="preserve">Maltesische Klausel</w:t>
      </w:r>
      <w:r>
        <w:rPr>
          <w:rFonts w:ascii="Arial" w:hAnsi="Arial" w:eastAsia="Arial" w:cs="Arial"/>
          <w:color w:val="000000"/>
          <w:sz w:val="20"/>
          <w:szCs w:val="20"/>
        </w:rPr>
        <w:t xml:space="preserve">“). Es versteht
sich von selbst, dass es um die abstrakte Möglichkeit der Scheidung
an sich geht und nicht um deren Zulässigkeit (Trennungsfristen,
Verschulden etc) im konkreten Einzelfall.</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in Fällen mehrfacher Staatsangehörigkeit zu verfahren ist
(vgl Art 8 lit c), soll nach dem ErwGr 22 der VO das
innerstaatliche Recht des angerufenen Gerichts entscheiden, „wobei
die allgemeinen Grundsätze der Europäischen Union uneingeschränkt
zu achten sind“. Fraglich ist, ob in Österreich § 9 IPRG
anzuwenden ist, der bei österreichischen Doppelstaatsbürgern die
österreichische Staatsbürgerschaft ungeachtet ihrer „Effektivität“
bevorzugt. Allerdings hat auch der EuGH in der Rs C-168/08,
</w:t>
      </w:r>
      <w:r>
        <w:rPr>
          <w:rFonts w:ascii="Arial" w:hAnsi="Arial" w:eastAsia="Arial" w:cs="Arial"/>
          <w:i/>
          <w:iCs/>
          <w:color w:val="000000"/>
          <w:sz w:val="20"/>
          <w:szCs w:val="20"/>
        </w:rPr>
        <w:t xml:space="preserve">Hadadi/Mesko</w:t>
      </w:r>
      <w:r>
        <w:rPr>
          <w:rFonts w:ascii="Arial" w:hAnsi="Arial" w:eastAsia="Arial" w:cs="Arial"/>
          <w:color w:val="000000"/>
          <w:sz w:val="20"/>
          <w:szCs w:val="20"/>
        </w:rPr>
        <w:t xml:space="preserve"> = Zak 2009/440, 279 in Auslegung der Brüssel
IIa-VO ausdrücklich die Prüfung der „Effektivität“ der
Staatsangehörigkeit abgelehnt. In dieser vom EuGH zu beurteilenden
Rechtssache standen den Ehegatten aufgrund ihrer
ungarisch-französischen Doppelstaatsbürgerschaft jeweils beide
Heimatgerichtsstände offen, was im Ergebnis nicht weiter
problematisch ist – wo zuerst geklagt wird, ist das Verfahren
durchzuführen. Für die Zwecke des Art 8 lit c Rom III-VO,
also zur Bestimmung des Scheidungsrechts, kann aber nur eine
Rechtsordnung zur Anwendung gelangen. In diesem Fall sollte im
Sinne eines europäischen Gleichklangs sehr wohl auf die
Effektivität der Staatsangehörigkeit abgestellt werden. § 9
IPRG widerspricht insofern den Grundsätzen der EU. Die Frage wäre
im Streitfall an den EuGH heranzutragen.</w:t>
      </w:r>
    </w:p>
    <w:p>
      <w:pPr>
        <w:numPr>
          <w:ilvl w:val="0"/>
          <w:numId w:val="7575039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Art 14 und Art 15 regeln abschließend die Frage,
wie mit Verweisungen auf territorial oder personal gespaltene
Rechtsordnungen umzugehen ist. Art 16 sieht ausdrücklich vor,
dass die VO nicht auf innerstaatliche Kollisionen anzuwenden ist
(Zak Heft 8, 147 f).</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7503978">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151380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807246">
    <w:multiLevelType w:val="hybridMultilevel"/>
    <w:lvl w:ilvl="0" w:tplc="90451297">
      <w:start w:val="1"/>
      <w:numFmt w:val="decimal"/>
      <w:lvlText w:val="%1."/>
      <w:lvlJc w:val="left"/>
      <w:pPr>
        <w:ind w:left="720" w:hanging="360"/>
      </w:pPr>
    </w:lvl>
    <w:lvl w:ilvl="1" w:tplc="90451297" w:tentative="1">
      <w:start w:val="1"/>
      <w:numFmt w:val="lowerLetter"/>
      <w:lvlText w:val="%2."/>
      <w:lvlJc w:val="left"/>
      <w:pPr>
        <w:ind w:left="1440" w:hanging="360"/>
      </w:pPr>
    </w:lvl>
    <w:lvl w:ilvl="2" w:tplc="90451297" w:tentative="1">
      <w:start w:val="1"/>
      <w:numFmt w:val="lowerRoman"/>
      <w:lvlText w:val="%3."/>
      <w:lvlJc w:val="right"/>
      <w:pPr>
        <w:ind w:left="2160" w:hanging="180"/>
      </w:pPr>
    </w:lvl>
    <w:lvl w:ilvl="3" w:tplc="90451297" w:tentative="1">
      <w:start w:val="1"/>
      <w:numFmt w:val="decimal"/>
      <w:lvlText w:val="%4."/>
      <w:lvlJc w:val="left"/>
      <w:pPr>
        <w:ind w:left="2880" w:hanging="360"/>
      </w:pPr>
    </w:lvl>
    <w:lvl w:ilvl="4" w:tplc="90451297" w:tentative="1">
      <w:start w:val="1"/>
      <w:numFmt w:val="lowerLetter"/>
      <w:lvlText w:val="%5."/>
      <w:lvlJc w:val="left"/>
      <w:pPr>
        <w:ind w:left="3600" w:hanging="360"/>
      </w:pPr>
    </w:lvl>
    <w:lvl w:ilvl="5" w:tplc="90451297" w:tentative="1">
      <w:start w:val="1"/>
      <w:numFmt w:val="lowerRoman"/>
      <w:lvlText w:val="%6."/>
      <w:lvlJc w:val="right"/>
      <w:pPr>
        <w:ind w:left="4320" w:hanging="180"/>
      </w:pPr>
    </w:lvl>
    <w:lvl w:ilvl="6" w:tplc="90451297" w:tentative="1">
      <w:start w:val="1"/>
      <w:numFmt w:val="decimal"/>
      <w:lvlText w:val="%7."/>
      <w:lvlJc w:val="left"/>
      <w:pPr>
        <w:ind w:left="5040" w:hanging="360"/>
      </w:pPr>
    </w:lvl>
    <w:lvl w:ilvl="7" w:tplc="90451297" w:tentative="1">
      <w:start w:val="1"/>
      <w:numFmt w:val="lowerLetter"/>
      <w:lvlText w:val="%8."/>
      <w:lvlJc w:val="left"/>
      <w:pPr>
        <w:ind w:left="5760" w:hanging="360"/>
      </w:pPr>
    </w:lvl>
    <w:lvl w:ilvl="8" w:tplc="90451297" w:tentative="1">
      <w:start w:val="1"/>
      <w:numFmt w:val="lowerRoman"/>
      <w:lvlText w:val="%9."/>
      <w:lvlJc w:val="right"/>
      <w:pPr>
        <w:ind w:left="6480" w:hanging="180"/>
      </w:pPr>
    </w:lvl>
  </w:abstractNum>
  <w:abstractNum w:abstractNumId="51807245">
    <w:multiLevelType w:val="hybridMultilevel"/>
    <w:lvl w:ilvl="0" w:tplc="470070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807245">
    <w:abstractNumId w:val="51807245"/>
  </w:num>
  <w:num w:numId="51807246">
    <w:abstractNumId w:val="51807246"/>
  </w:num>
  <w:num w:numId="691513805">
    <w:abstractNumId w:val="691513805"/>
  </w:num>
  <w:num w:numId="757503978">
    <w:abstractNumId w:val="7575039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71842603" Type="http://schemas.openxmlformats.org/officeDocument/2006/relationships/numbering" Target="numbering.xml"/><Relationship Id="rId64234215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