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1097788" w:name="document"/>
    <w:bookmarkEnd w:id="71097788"/>
    <w:p/>
    <w:p>
      <w:pPr>
        <w:widowControl w:val="on"/>
        <w:pBdr/>
        <w:spacing w:before="0" w:after="280" w:line="240" w:lineRule="auto"/>
        <w:ind w:left="0" w:right="0"/>
        <w:jc w:val="left"/>
      </w:pPr>
      <w:r>
        <w:rPr>
          <w:rFonts w:ascii="Arial" w:hAnsi="Arial" w:eastAsia="Arial" w:cs="Arial"/>
          <w:color w:val="363A40"/>
          <w:sz w:val="24"/>
          <w:szCs w:val="24"/>
        </w:rPr>
        <w:t xml:space="preserve">Dokument-ID: 788167 | Alexandra Cervinka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Vergleich betreffend Auflösung einer eingetragenen
Partnerschaft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Vereinbarung nach § 15
Abs 5 EPG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Auflösungsfolgenvereinbarung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Erstantragsteller: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Johanna Gasser, geboren am 27.03.1967</w:t>
            </w:r>
            <w:r>
              <w:rPr>
                <w:rFonts w:ascii="Arial" w:hAnsi="Arial" w:eastAsia="Arial" w:cs="Arial"/>
                <w:color w:val="000000"/>
                <w:position w:val="0"/>
                <w:sz w:val="20"/>
                <w:szCs w:val="20"/>
                <w:shd w:val="clear" w:color="auto" w:fill="FFFFFF"/>
              </w:rPr>
              <w:br/>
              <w:t xml:space="preserve">Zeltgasse 3/RH 4, 9020 Klagenfurt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Zweitantragsteller: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Jasmin Gruber, geboren am 02.02.1967</w:t>
            </w:r>
            <w:r>
              <w:rPr>
                <w:rFonts w:ascii="Arial" w:hAnsi="Arial" w:eastAsia="Arial" w:cs="Arial"/>
                <w:color w:val="000000"/>
                <w:position w:val="0"/>
                <w:sz w:val="20"/>
                <w:szCs w:val="20"/>
                <w:shd w:val="clear" w:color="auto" w:fill="FFFFFF"/>
              </w:rPr>
              <w:br/>
              <w:t xml:space="preserve">Zeltgasse 3/RH 4, 9020 Klagenfurt</w:t>
            </w:r>
          </w:p>
        </w:tc>
      </w:tr>
    </w:tbl>
    <w:p>
      <w:pPr>
        <w:widowControl w:val="on"/>
        <w:pBdr/>
        <w:spacing w:before="140" w:after="240" w:line="288" w:lineRule="auto"/>
        <w:ind w:left="0" w:right="0"/>
        <w:jc w:val="left"/>
      </w:pPr>
      <w:r>
        <w:rPr>
          <w:rFonts w:ascii="Arial" w:hAnsi="Arial" w:eastAsia="Arial" w:cs="Arial"/>
          <w:color w:val="000000"/>
          <w:sz w:val="20"/>
          <w:szCs w:val="20"/>
        </w:rPr>
        <w:t xml:space="preserve">Für den Fall der Auflösung der eingetragenen Partnerschaft
schließen die Antragsteller nachstehenden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Vergleich gem § 15
Abs 5 EPG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Unterhalt</w:t>
      </w:r>
    </w:p>
    <w:p>
      <w:pPr>
        <w:widowControl w:val="on"/>
        <w:pBdr/>
        <w:spacing w:before="140" w:after="240" w:line="288" w:lineRule="auto"/>
        <w:ind w:left="0" w:right="0"/>
        <w:jc w:val="left"/>
      </w:pPr>
      <w:r>
        <w:rPr>
          <w:rFonts w:ascii="Arial" w:hAnsi="Arial" w:eastAsia="Arial" w:cs="Arial"/>
          <w:color w:val="000000"/>
          <w:sz w:val="20"/>
          <w:szCs w:val="20"/>
        </w:rPr>
        <w:t xml:space="preserve">Die Erstantragstellerin verpflichtet sich, der
Zweitantragstellerin ab dem der Rechtskraft der Auflösung der
eingetragenen Partnerschaft folgenden Monat monatlich jeweils bis
zum 5. eines Monates im Vorhinein einen Unterhaltsbeitrag von
EUR 100,– zu bezahlen; dies befristet bis einschließlich 31.
Dezember 2025.</w:t>
      </w:r>
    </w:p>
    <w:p>
      <w:pPr>
        <w:widowControl w:val="on"/>
        <w:pBdr/>
        <w:spacing w:before="140" w:after="240" w:line="288" w:lineRule="auto"/>
        <w:ind w:left="0" w:right="0"/>
        <w:jc w:val="left"/>
      </w:pPr>
      <w:r>
        <w:rPr>
          <w:rFonts w:ascii="Arial" w:hAnsi="Arial" w:eastAsia="Arial" w:cs="Arial"/>
          <w:color w:val="000000"/>
          <w:sz w:val="20"/>
          <w:szCs w:val="20"/>
        </w:rPr>
        <w:t xml:space="preserve">Für den Zeitraum Jänner 2015 bis Juli 2015 besteht ein
Unterhaltsrückstand der Erstantragstellerin in Höhe von
EUR 1.000,–.</w:t>
      </w:r>
    </w:p>
    <w:p>
      <w:pPr>
        <w:widowControl w:val="on"/>
        <w:pBdr/>
        <w:spacing w:before="140" w:after="240" w:line="288" w:lineRule="auto"/>
        <w:ind w:left="0" w:right="0"/>
        <w:jc w:val="left"/>
      </w:pPr>
      <w:r>
        <w:rPr>
          <w:rFonts w:ascii="Arial" w:hAnsi="Arial" w:eastAsia="Arial" w:cs="Arial"/>
          <w:color w:val="000000"/>
          <w:sz w:val="20"/>
          <w:szCs w:val="20"/>
        </w:rPr>
        <w:t xml:space="preserve">Die Erstantragstellerin verpflichtet sich, den genannten
Unterhaltsrückstand wie folgt zu bezahlen:</w:t>
      </w:r>
    </w:p>
    <w:p>
      <w:pPr>
        <w:widowControl w:val="on"/>
        <w:pBdr/>
        <w:spacing w:before="140" w:after="240" w:line="288" w:lineRule="auto"/>
        <w:ind w:left="0" w:right="0"/>
        <w:jc w:val="left"/>
      </w:pPr>
      <w:r>
        <w:rPr>
          <w:rFonts w:ascii="Arial" w:hAnsi="Arial" w:eastAsia="Arial" w:cs="Arial"/>
          <w:color w:val="000000"/>
          <w:sz w:val="20"/>
          <w:szCs w:val="20"/>
        </w:rPr>
        <w:t xml:space="preserve">Eine erste Rate in Höhe von EUR 400,– bis längstens zwei
Wochen nach Rechtskraft des Beschlusses über die Auflösung der
eingetragenen Partnerschaft im Einvernehmen, den Restbetrag in Höhe
von EUR 600,– in 2 gleich hohen monatlichen Raten mit
5-tägigem Respiro und sonstigem Terminverlust. Bei Nichtzahlung
auch nur einer Rate wird sofort der zu diesem Zeitpunkt noch
ausständige rückständige Unterhalt insgesamt fällig.</w:t>
      </w:r>
    </w:p>
    <w:p>
      <w:pPr>
        <w:widowControl w:val="on"/>
        <w:pBdr/>
        <w:spacing w:before="140" w:after="240" w:line="288" w:lineRule="auto"/>
        <w:ind w:left="0" w:right="0"/>
        <w:jc w:val="left"/>
      </w:pPr>
      <w:r>
        <w:rPr>
          <w:rFonts w:ascii="Arial" w:hAnsi="Arial" w:eastAsia="Arial" w:cs="Arial"/>
          <w:color w:val="000000"/>
          <w:sz w:val="20"/>
          <w:szCs w:val="20"/>
        </w:rPr>
        <w:t xml:space="preserve">Die Erstantragstellerin hingegen verzichtet auf jeglichen
Unterhalt. Dies gilt auch für den Fall geänderter Verhältnisse,
geänderter gesetzlicher Bestimmungen oder unverschuldeter Notlage,
Krankheit und überhaupt für Ereignisse, die sie derzeit nicht
bedenken oder nicht voraussehen kann.</w:t>
      </w:r>
    </w:p>
    <w:p>
      <w:pPr>
        <w:widowControl w:val="on"/>
        <w:pBdr/>
        <w:spacing w:before="140" w:after="240" w:line="288" w:lineRule="auto"/>
        <w:ind w:left="0" w:right="0"/>
        <w:jc w:val="left"/>
      </w:pPr>
      <w:r>
        <w:rPr>
          <w:rFonts w:ascii="Arial" w:hAnsi="Arial" w:eastAsia="Arial" w:cs="Arial"/>
          <w:color w:val="000000"/>
          <w:sz w:val="20"/>
          <w:szCs w:val="20"/>
        </w:rPr>
        <w:t xml:space="preserve">Die Erstantragstellerin verzichtet ausdrücklich auf die
Geltendmachung der Umstandsklausel und erklärt, keine
Unterhaltsansprüche aus einem allfälligen, bewusst nicht geprüften
Verschulden an der Zerrüttung der eingetragenen Partnerschaft
ableiten zu wollen.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Partnerschaftswohnung</w:t>
      </w:r>
    </w:p>
    <w:p>
      <w:pPr>
        <w:widowControl w:val="on"/>
        <w:pBdr/>
        <w:spacing w:before="140" w:after="240" w:line="288" w:lineRule="auto"/>
        <w:ind w:left="0" w:right="0"/>
        <w:jc w:val="left"/>
      </w:pPr>
      <w:r>
        <w:rPr>
          <w:rFonts w:ascii="Arial" w:hAnsi="Arial" w:eastAsia="Arial" w:cs="Arial"/>
          <w:color w:val="000000"/>
          <w:sz w:val="20"/>
          <w:szCs w:val="20"/>
        </w:rPr>
        <w:t xml:space="preserve">Das Reihenhaus 4, Zeltgasse 3, 9020 Klagenfurt, welches als
Partnerschaftswohnung diente, verbleibt der Erstantragstellerin,
die bereits alleinige Hauptmieterin ist.</w:t>
      </w:r>
    </w:p>
    <w:p>
      <w:pPr>
        <w:widowControl w:val="on"/>
        <w:pBdr/>
        <w:spacing w:before="140" w:after="240" w:line="288" w:lineRule="auto"/>
        <w:ind w:left="0" w:right="0"/>
        <w:jc w:val="left"/>
      </w:pPr>
      <w:r>
        <w:rPr>
          <w:rFonts w:ascii="Arial" w:hAnsi="Arial" w:eastAsia="Arial" w:cs="Arial"/>
          <w:color w:val="000000"/>
          <w:sz w:val="20"/>
          <w:szCs w:val="20"/>
        </w:rPr>
        <w:t xml:space="preserve">Die Zweitantragstellerin hat die Wohnung bereits von ihren
Fahrnissen geräumt und anerkennt, dass sämtliche in der
partnerschaftlichen Wohnung verbleibenden Gegenstände im
Alleineigentum der Erstantragstellerin 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Verbindlichkeiten</w:t>
      </w:r>
    </w:p>
    <w:p>
      <w:pPr>
        <w:widowControl w:val="on"/>
        <w:pBdr/>
        <w:spacing w:before="140" w:after="240" w:line="288" w:lineRule="auto"/>
        <w:ind w:left="0" w:right="0"/>
        <w:jc w:val="left"/>
      </w:pPr>
      <w:r>
        <w:rPr>
          <w:rFonts w:ascii="Arial" w:hAnsi="Arial" w:eastAsia="Arial" w:cs="Arial"/>
          <w:color w:val="000000"/>
          <w:sz w:val="20"/>
          <w:szCs w:val="20"/>
        </w:rPr>
        <w:t xml:space="preserve">Die beiden Antragsteller haben gemeinsam bei der S-Bank ein
Darlehen über EUR 25.000,– aufgenommen, welches mit einem
Restbetrag von EUR 6.000,– aushaftet. Die Erstantragstellerin
verpflichtet sich, dieses Darlehen in ihr alleiniges
Zahlungsversprechen zu übernehmen und die Zweitantragstellerin
schad- und klaglos zu halten. Die Parteien beantragen hinsichtlich
sämtlicher genannten Kreditverbindlichkeiten Beschlussfassung nach
§ 98 EheG, sodass die Erstantragstellerin Hauptschuldnerin und
die Zweitantragstellerin Ausfallsbürgin ist.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Gebrauchsvermögen und
Ersparnisse</w:t>
      </w:r>
    </w:p>
    <w:p>
      <w:pPr>
        <w:widowControl w:val="on"/>
        <w:pBdr/>
        <w:spacing w:before="140" w:after="240" w:line="288" w:lineRule="auto"/>
        <w:ind w:left="0" w:right="0"/>
        <w:jc w:val="left"/>
      </w:pPr>
      <w:r>
        <w:rPr>
          <w:rFonts w:ascii="Arial" w:hAnsi="Arial" w:eastAsia="Arial" w:cs="Arial"/>
          <w:color w:val="000000"/>
          <w:sz w:val="20"/>
          <w:szCs w:val="20"/>
        </w:rPr>
        <w:t xml:space="preserve">Jedem eingetragenen Partner verbleibt das jeweils ihm gehörige
Girokonto.</w:t>
      </w:r>
    </w:p>
    <w:p>
      <w:pPr>
        <w:widowControl w:val="on"/>
        <w:pBdr/>
        <w:spacing w:before="140" w:after="240" w:line="288" w:lineRule="auto"/>
        <w:ind w:left="0" w:right="0"/>
        <w:jc w:val="left"/>
      </w:pPr>
      <w:r>
        <w:rPr>
          <w:rFonts w:ascii="Arial" w:hAnsi="Arial" w:eastAsia="Arial" w:cs="Arial"/>
          <w:color w:val="000000"/>
          <w:sz w:val="20"/>
          <w:szCs w:val="20"/>
        </w:rPr>
        <w:t xml:space="preserve">Sonstige partnerschaftliche Ersparnisse und gemeinsame
Kreditverbindlichkeiten sind nicht vorhanden. Damit sind alle
wechselseitigen Ansprüche der eingetragenen Partner auf Teilung der
Wohnung, des partnerschaftlichen Gebrauchsvermögens, Unterhalts-
und sonstige aus dem partnerschaftlichen Verhältnis entstandene
Ansprüche, bereinigt und verglichen. Die eingetragenen Partner
verzichten auf weitere Ansprüche und Antragstellung nach den
§§ 24 ff EPG.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Gebühren und Kosten</w:t>
      </w:r>
    </w:p>
    <w:p>
      <w:pPr>
        <w:widowControl w:val="on"/>
        <w:pBdr/>
        <w:spacing w:before="140" w:after="240" w:line="288" w:lineRule="auto"/>
        <w:ind w:left="0" w:right="0"/>
        <w:jc w:val="left"/>
      </w:pPr>
      <w:r>
        <w:rPr>
          <w:rFonts w:ascii="Arial" w:hAnsi="Arial" w:eastAsia="Arial" w:cs="Arial"/>
          <w:color w:val="000000"/>
          <w:sz w:val="20"/>
          <w:szCs w:val="20"/>
        </w:rPr>
        <w:t xml:space="preserve">Die Gerichtsgebühren werden von der Zweitantragstellerin alleine
getragen, die die Erstantragstellerin diesbezüglich schad- und
klaglos hält. Die Kosten der jeweiligen Rechtsvertretung werden
jeweils von den beiden Antragstellerinnen selbst getragen.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Erstantragstellerin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Zweitantragstellerin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808291">
    <w:multiLevelType w:val="hybridMultilevel"/>
    <w:lvl w:ilvl="0" w:tplc="38777785">
      <w:start w:val="1"/>
      <w:numFmt w:val="decimal"/>
      <w:lvlText w:val="%1."/>
      <w:lvlJc w:val="left"/>
      <w:pPr>
        <w:ind w:left="720" w:hanging="360"/>
      </w:pPr>
    </w:lvl>
    <w:lvl w:ilvl="1" w:tplc="38777785" w:tentative="1">
      <w:start w:val="1"/>
      <w:numFmt w:val="lowerLetter"/>
      <w:lvlText w:val="%2."/>
      <w:lvlJc w:val="left"/>
      <w:pPr>
        <w:ind w:left="1440" w:hanging="360"/>
      </w:pPr>
    </w:lvl>
    <w:lvl w:ilvl="2" w:tplc="38777785" w:tentative="1">
      <w:start w:val="1"/>
      <w:numFmt w:val="lowerRoman"/>
      <w:lvlText w:val="%3."/>
      <w:lvlJc w:val="right"/>
      <w:pPr>
        <w:ind w:left="2160" w:hanging="180"/>
      </w:pPr>
    </w:lvl>
    <w:lvl w:ilvl="3" w:tplc="38777785" w:tentative="1">
      <w:start w:val="1"/>
      <w:numFmt w:val="decimal"/>
      <w:lvlText w:val="%4."/>
      <w:lvlJc w:val="left"/>
      <w:pPr>
        <w:ind w:left="2880" w:hanging="360"/>
      </w:pPr>
    </w:lvl>
    <w:lvl w:ilvl="4" w:tplc="38777785" w:tentative="1">
      <w:start w:val="1"/>
      <w:numFmt w:val="lowerLetter"/>
      <w:lvlText w:val="%5."/>
      <w:lvlJc w:val="left"/>
      <w:pPr>
        <w:ind w:left="3600" w:hanging="360"/>
      </w:pPr>
    </w:lvl>
    <w:lvl w:ilvl="5" w:tplc="38777785" w:tentative="1">
      <w:start w:val="1"/>
      <w:numFmt w:val="lowerRoman"/>
      <w:lvlText w:val="%6."/>
      <w:lvlJc w:val="right"/>
      <w:pPr>
        <w:ind w:left="4320" w:hanging="180"/>
      </w:pPr>
    </w:lvl>
    <w:lvl w:ilvl="6" w:tplc="38777785" w:tentative="1">
      <w:start w:val="1"/>
      <w:numFmt w:val="decimal"/>
      <w:lvlText w:val="%7."/>
      <w:lvlJc w:val="left"/>
      <w:pPr>
        <w:ind w:left="5040" w:hanging="360"/>
      </w:pPr>
    </w:lvl>
    <w:lvl w:ilvl="7" w:tplc="38777785" w:tentative="1">
      <w:start w:val="1"/>
      <w:numFmt w:val="lowerLetter"/>
      <w:lvlText w:val="%8."/>
      <w:lvlJc w:val="left"/>
      <w:pPr>
        <w:ind w:left="5760" w:hanging="360"/>
      </w:pPr>
    </w:lvl>
    <w:lvl w:ilvl="8" w:tplc="38777785" w:tentative="1">
      <w:start w:val="1"/>
      <w:numFmt w:val="lowerRoman"/>
      <w:lvlText w:val="%9."/>
      <w:lvlJc w:val="right"/>
      <w:pPr>
        <w:ind w:left="6480" w:hanging="180"/>
      </w:pPr>
    </w:lvl>
  </w:abstractNum>
  <w:abstractNum w:abstractNumId="66808290">
    <w:multiLevelType w:val="hybridMultilevel"/>
    <w:lvl w:ilvl="0" w:tplc="720602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808290">
    <w:abstractNumId w:val="66808290"/>
  </w:num>
  <w:num w:numId="66808291">
    <w:abstractNumId w:val="668082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17234625" Type="http://schemas.openxmlformats.org/officeDocument/2006/relationships/numbering" Target="numbering.xml"/><Relationship Id="rId65252651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