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7434491" w:name="document"/>
    <w:bookmarkEnd w:id="97434491"/>
    <w:p/>
    <w:p>
      <w:pPr>
        <w:widowControl w:val="on"/>
        <w:pBdr/>
        <w:spacing w:before="0" w:after="280" w:line="240" w:lineRule="auto"/>
        <w:ind w:left="0" w:right="0"/>
        <w:jc w:val="left"/>
      </w:pPr>
      <w:r>
        <w:rPr>
          <w:rFonts w:ascii="Arial" w:hAnsi="Arial" w:eastAsia="Arial" w:cs="Arial"/>
          <w:color w:val="363A40"/>
          <w:sz w:val="24"/>
          <w:szCs w:val="24"/>
        </w:rPr>
        <w:t xml:space="preserve">Dokument-ID: 726176 | Dan Katzlinger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Bauwerkvertrag (Weiterführung nach Insolvenz)</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Bauwerkvertrag</w:t>
      </w:r>
    </w:p>
    <w:p>
      <w:pPr>
        <w:widowControl w:val="on"/>
        <w:pBdr/>
        <w:spacing w:before="140" w:after="240" w:line="288" w:lineRule="auto"/>
        <w:ind w:left="0" w:right="0"/>
        <w:jc w:val="left"/>
      </w:pPr>
      <w:r>
        <w:rPr>
          <w:rFonts w:ascii="Arial" w:hAnsi="Arial" w:eastAsia="Arial" w:cs="Arial"/>
          <w:color w:val="000000"/>
          <w:sz w:val="20"/>
          <w:szCs w:val="20"/>
        </w:rPr>
        <w:t xml:space="preserve">Auftraggeber:</w:t>
      </w:r>
      <w:r>
        <w:rPr>
          <w:rFonts w:ascii="Arial" w:hAnsi="Arial" w:eastAsia="Arial" w:cs="Arial"/>
          <w:color w:val="000000"/>
          <w:sz w:val="20"/>
          <w:szCs w:val="20"/>
        </w:rPr>
        <w:br/>
        <w:t xml:space="preserve">XYZ Wohnbau GmbH, FN … a, Adresse</w:t>
      </w:r>
      <w:r>
        <w:rPr>
          <w:rFonts w:ascii="Arial" w:hAnsi="Arial" w:eastAsia="Arial" w:cs="Arial"/>
          <w:color w:val="000000"/>
          <w:sz w:val="20"/>
          <w:szCs w:val="20"/>
        </w:rPr>
        <w:br/>
        <w:t xml:space="preserve">(idF Auftraggeber)</w:t>
      </w:r>
    </w:p>
    <w:p>
      <w:pPr>
        <w:widowControl w:val="on"/>
        <w:pBdr/>
        <w:spacing w:before="140" w:after="240" w:line="288" w:lineRule="auto"/>
        <w:ind w:left="0" w:right="0"/>
        <w:jc w:val="left"/>
      </w:pPr>
      <w:r>
        <w:rPr>
          <w:rFonts w:ascii="Arial" w:hAnsi="Arial" w:eastAsia="Arial" w:cs="Arial"/>
          <w:color w:val="000000"/>
          <w:sz w:val="20"/>
          <w:szCs w:val="20"/>
        </w:rPr>
        <w:t xml:space="preserve">Auftragnehmer:</w:t>
      </w:r>
      <w:r>
        <w:rPr>
          <w:rFonts w:ascii="Arial" w:hAnsi="Arial" w:eastAsia="Arial" w:cs="Arial"/>
          <w:color w:val="000000"/>
          <w:sz w:val="20"/>
          <w:szCs w:val="20"/>
        </w:rPr>
        <w:br/>
        <w:t xml:space="preserve">ABC Bau GmbH, FN … b, Adresse</w:t>
      </w:r>
      <w:r>
        <w:rPr>
          <w:rFonts w:ascii="Arial" w:hAnsi="Arial" w:eastAsia="Arial" w:cs="Arial"/>
          <w:color w:val="000000"/>
          <w:sz w:val="20"/>
          <w:szCs w:val="20"/>
        </w:rPr>
        <w:br/>
        <w:t xml:space="preserve">als Generalunternehmer und Auftragnehmer (idF Auftragnehmer) wie
folgt: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Präambel</w:t>
      </w:r>
    </w:p>
    <w:p>
      <w:pPr>
        <w:widowControl w:val="on"/>
        <w:pBdr/>
        <w:spacing w:before="140" w:after="240" w:line="288" w:lineRule="auto"/>
        <w:ind w:left="0" w:right="0"/>
        <w:jc w:val="left"/>
      </w:pPr>
      <w:r>
        <w:rPr>
          <w:rFonts w:ascii="Arial" w:hAnsi="Arial" w:eastAsia="Arial" w:cs="Arial"/>
          <w:color w:val="000000"/>
          <w:sz w:val="20"/>
          <w:szCs w:val="20"/>
        </w:rPr>
        <w:t xml:space="preserve">Gegenstand des Werkvertrages sind die Baumeisterarbeiten zum BV
…, PLZ Ort … Der Auftraggeber hat die Ausschreibungsunterlagen auf
Basis der allgemeinen rechtlichen Vertragsbestimmungen und der
besonderen Vertragsbestimmungen, welche einen integrierenden
Bestandteil dieses Vertrages bilden, erstellt.</w:t>
      </w:r>
    </w:p>
    <w:p>
      <w:pPr>
        <w:widowControl w:val="on"/>
        <w:pBdr/>
        <w:spacing w:before="140" w:after="240" w:line="288" w:lineRule="auto"/>
        <w:ind w:left="0" w:right="0"/>
        <w:jc w:val="left"/>
      </w:pPr>
      <w:r>
        <w:rPr>
          <w:rFonts w:ascii="Arial" w:hAnsi="Arial" w:eastAsia="Arial" w:cs="Arial"/>
          <w:color w:val="000000"/>
          <w:sz w:val="20"/>
          <w:szCs w:val="20"/>
        </w:rPr>
        <w:t xml:space="preserve">Aufgrund der Eröffnung des Insolvenzverfahrens über die xy Bau
GmbH und des Umstandes, dass der Masseverwalter den Eintritt in den
Bauvertrag vom … zwischen dem Auftraggeber und der xy Bau GmbH
nicht erklärt hat bzw das Unternehmen geschlossen wurde, führt der
Auftraggeber mit dem Auftragnehmer die weitere Bauabwicklung im
Sinn des gegenständlichen Werkvertrages wie folgt fort: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Vertragsgegenstand</w:t>
      </w:r>
    </w:p>
    <w:p>
      <w:pPr>
        <w:widowControl w:val="on"/>
        <w:pBdr/>
        <w:spacing w:before="140" w:after="240" w:line="288" w:lineRule="auto"/>
        <w:ind w:left="0" w:right="0"/>
        <w:jc w:val="left"/>
      </w:pPr>
      <w:r>
        <w:rPr>
          <w:rFonts w:ascii="Arial" w:hAnsi="Arial" w:eastAsia="Arial" w:cs="Arial"/>
          <w:color w:val="000000"/>
          <w:sz w:val="20"/>
          <w:szCs w:val="20"/>
        </w:rPr>
        <w:t xml:space="preserve">Der oben angeführte Bauvertrag vom … gilt vollinhaltlich
zwischen Auftraggeber und (nunmehrigem) Auftragnehmer mit den
nachstehenden Änderungen und Ergänzungen, wobei für den Fall von
Widersprüchen die Regelungen in gegenständlichem Vertrag vorgehen.
In diesem Zusammenhang erklärt der Auftragnehmer ausdrücklich,
sämtliche Vertragsgrundlagen des bisherigen Vertrages, welchen er
sohin sinngemäß weiterführt, vollinhaltlich zu kennen, bestätigt,
die dort angeführten Vertragsunterlagen erhalten oder aber
zumindest in diese ausreichend Einsicht bekommen zu haben, um die
Leistungen daraus vollinhaltlich in Art und Umfang ableiten zu
können, weiters dass er sich vor Übernahme des Auftrages über die
örtlichen Verhältnisse und den tatsächlichen Zustand vollumfänglich
unterrichtet hat.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Geänderter Auftrag und
Leistungsumfang</w:t>
      </w:r>
    </w:p>
    <w:p>
      <w:pPr>
        <w:widowControl w:val="on"/>
        <w:pBdr/>
        <w:spacing w:before="140" w:after="240" w:line="288" w:lineRule="auto"/>
        <w:ind w:left="0" w:right="0"/>
        <w:jc w:val="left"/>
      </w:pPr>
      <w:r>
        <w:rPr>
          <w:rFonts w:ascii="Arial" w:hAnsi="Arial" w:eastAsia="Arial" w:cs="Arial"/>
          <w:color w:val="000000"/>
          <w:sz w:val="20"/>
          <w:szCs w:val="20"/>
        </w:rPr>
        <w:t xml:space="preserve">Ausgangsbasis für die nunmehrige Auftragssumme als
Pauschalfestpreis ist der mit dem ursprünglichen Auftragnehmer
vereinbarte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Pauschalfestpreis von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zzgl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zusammen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bl>
    <w:p>
      <w:pPr>
        <w:widowControl w:val="on"/>
        <w:pBdr/>
        <w:spacing w:before="140" w:after="240" w:line="288" w:lineRule="auto"/>
        <w:ind w:left="0" w:right="0"/>
        <w:jc w:val="left"/>
      </w:pPr>
      <w:r>
        <w:rPr>
          <w:rFonts w:ascii="Arial" w:hAnsi="Arial" w:eastAsia="Arial" w:cs="Arial"/>
          <w:color w:val="000000"/>
          <w:sz w:val="20"/>
          <w:szCs w:val="20"/>
        </w:rPr>
        <w:t xml:space="preserve">Die Schlussrechnung des ursprünglichen Auftragnehmers wird in
Abzug gebracht und einvernehmlich auch als Basis der
Leistungsabgrenzung festgelegt.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 beträgt netto</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zzgl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 sohin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bl>
    <w:p>
      <w:pPr>
        <w:widowControl w:val="on"/>
        <w:pBdr/>
        <w:spacing w:before="140" w:after="240" w:line="288" w:lineRule="auto"/>
        <w:ind w:left="0" w:right="0"/>
        <w:jc w:val="left"/>
      </w:pPr>
      <w:r>
        <w:rPr>
          <w:rFonts w:ascii="Arial" w:hAnsi="Arial" w:eastAsia="Arial" w:cs="Arial"/>
          <w:color w:val="000000"/>
          <w:sz w:val="20"/>
          <w:szCs w:val="20"/>
        </w:rPr>
        <w:t xml:space="preserve">Einvernehmlich festgehalten wird, dass die Zahlungen bis
einschließlich der 2. Rate an den ursprünglichen Auftragnehmer
bereits erfolgt sind.</w:t>
      </w:r>
    </w:p>
    <w:p>
      <w:pPr>
        <w:widowControl w:val="on"/>
        <w:pBdr/>
        <w:spacing w:before="140" w:after="240" w:line="288" w:lineRule="auto"/>
        <w:ind w:left="0" w:right="0"/>
        <w:jc w:val="left"/>
      </w:pPr>
      <w:r>
        <w:rPr>
          <w:rFonts w:ascii="Arial" w:hAnsi="Arial" w:eastAsia="Arial" w:cs="Arial"/>
          <w:color w:val="000000"/>
          <w:sz w:val="20"/>
          <w:szCs w:val="20"/>
        </w:rPr>
        <w:t xml:space="preserve">Die weiteren Raten ab einschließlich der 4. bleiben wie dort
definiert aufrecht. Die 3. Rate wird der Höhe nach aufgrund der
bereits erbrachten Leistungen einvernehmlich bestimmt mit netto
EUR …</w:t>
      </w:r>
    </w:p>
    <w:p>
      <w:pPr>
        <w:widowControl w:val="on"/>
        <w:pBdr/>
        <w:spacing w:before="140" w:after="240" w:line="288" w:lineRule="auto"/>
        <w:ind w:left="0" w:right="0"/>
        <w:jc w:val="left"/>
      </w:pPr>
      <w:r>
        <w:rPr>
          <w:rFonts w:ascii="Arial" w:hAnsi="Arial" w:eastAsia="Arial" w:cs="Arial"/>
          <w:color w:val="000000"/>
          <w:sz w:val="20"/>
          <w:szCs w:val="20"/>
        </w:rPr>
        <w:t xml:space="preserve">Die 3. und 4. Rate kommen sofort zur Auszahlung, Zug um Zug
gegen Erlag einer Erfüllungsgarantie in Höhe von EUR …,
Laufzeit bis einschließlich …</w:t>
      </w:r>
    </w:p>
    <w:p>
      <w:pPr>
        <w:widowControl w:val="on"/>
        <w:pBdr/>
        <w:spacing w:before="140" w:after="240" w:line="288" w:lineRule="auto"/>
        <w:ind w:left="0" w:right="0"/>
        <w:jc w:val="left"/>
      </w:pPr>
      <w:r>
        <w:rPr>
          <w:rFonts w:ascii="Arial" w:hAnsi="Arial" w:eastAsia="Arial" w:cs="Arial"/>
          <w:color w:val="000000"/>
          <w:sz w:val="20"/>
          <w:szCs w:val="20"/>
        </w:rPr>
        <w:t xml:space="preserve">Der Zahlungsplan ergibt sich damit im Einzelnen wie folgt: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Untergeschoß</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Fertigstellung und Übernahme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zuzüglich 20 % MwSt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 Rate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Nach Fertigstellung und Übergabe einer</w:t>
            </w:r>
            <w:r>
              <w:rPr>
                <w:rFonts w:ascii="Arial" w:hAnsi="Arial" w:eastAsia="Arial" w:cs="Arial"/>
                <w:color w:val="000000"/>
                <w:position w:val="0"/>
                <w:sz w:val="20"/>
                <w:szCs w:val="20"/>
                <w:shd w:val="clear" w:color="auto" w:fill="FFFFFF"/>
              </w:rPr>
              <w:br/>
              <w:t xml:space="preserve">Bankgarantie für Gewährleistung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 …</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 </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EUR …</w:t>
            </w:r>
          </w:p>
        </w:tc>
      </w:tr>
    </w:tbl>
    <w:p>
      <w:pPr>
        <w:widowControl w:val="on"/>
        <w:pBdr/>
        <w:spacing w:before="140" w:after="240" w:line="288" w:lineRule="auto"/>
        <w:ind w:left="0" w:right="0"/>
        <w:jc w:val="left"/>
      </w:pPr>
      <w:r>
        <w:rPr>
          <w:rFonts w:ascii="Arial" w:hAnsi="Arial" w:eastAsia="Arial" w:cs="Arial"/>
          <w:color w:val="000000"/>
          <w:sz w:val="20"/>
          <w:szCs w:val="20"/>
        </w:rPr>
        <w:t xml:space="preserve">Zahlungen an den Auftragnehmer erfolgen ausschließlich auf das
Konto IBAN … BIC … Eine allfällige Änderung der Bankverbindung ist
dem Auftraggeber schriftlich mitzuteilen.</w:t>
      </w:r>
    </w:p>
    <w:p>
      <w:pPr>
        <w:widowControl w:val="on"/>
        <w:pBdr/>
        <w:spacing w:before="140" w:after="240" w:line="288" w:lineRule="auto"/>
        <w:ind w:left="0" w:right="0"/>
        <w:jc w:val="left"/>
      </w:pPr>
      <w:r>
        <w:rPr>
          <w:rFonts w:ascii="Arial" w:hAnsi="Arial" w:eastAsia="Arial" w:cs="Arial"/>
          <w:color w:val="000000"/>
          <w:sz w:val="20"/>
          <w:szCs w:val="20"/>
        </w:rPr>
        <w:t xml:space="preserve">Ausdrücklich festgehalten wird, dass der Endtermin, wie im
ursprünglichen Bauvertrag festgelegt, aufrecht erhalten bleibt. Der
Auftragnehmer macht auch aus diesem Titel keine Mehrkosten geltend.
Die überschlägig ermittelten Kosten für Forcierungsmaßnahmen etc
für die Erreichung einer vertragskonformen und zeitgerechten
Wohnungs- bzw Objektübergabe sind im definierten Pauschalfestpreis
bereits berücksichtigt.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Gewährleistung</w:t>
      </w:r>
    </w:p>
    <w:p>
      <w:pPr>
        <w:widowControl w:val="on"/>
        <w:pBdr/>
        <w:spacing w:before="140" w:after="240" w:line="288" w:lineRule="auto"/>
        <w:ind w:left="0" w:right="0"/>
        <w:jc w:val="left"/>
      </w:pPr>
      <w:r>
        <w:rPr>
          <w:rFonts w:ascii="Arial" w:hAnsi="Arial" w:eastAsia="Arial" w:cs="Arial"/>
          <w:color w:val="000000"/>
          <w:sz w:val="20"/>
          <w:szCs w:val="20"/>
        </w:rPr>
        <w:t xml:space="preserve">Festgehalten wird, dass durch die gegenständliche Vereinbarung
der Auftragnehmer in sämtliche Verpflichtungen aus dem
ursprünglichen Bauvertrag vom … eintritt und auch die
Gewährleistungsverpflichtung für die bereits von der xy Bau GmbH
erbrachten Leistungen übernimmt.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2698305">
    <w:multiLevelType w:val="hybridMultilevel"/>
    <w:lvl w:ilvl="0" w:tplc="63909414">
      <w:start w:val="1"/>
      <w:numFmt w:val="decimal"/>
      <w:lvlText w:val="%1."/>
      <w:lvlJc w:val="left"/>
      <w:pPr>
        <w:ind w:left="720" w:hanging="360"/>
      </w:pPr>
    </w:lvl>
    <w:lvl w:ilvl="1" w:tplc="63909414" w:tentative="1">
      <w:start w:val="1"/>
      <w:numFmt w:val="lowerLetter"/>
      <w:lvlText w:val="%2."/>
      <w:lvlJc w:val="left"/>
      <w:pPr>
        <w:ind w:left="1440" w:hanging="360"/>
      </w:pPr>
    </w:lvl>
    <w:lvl w:ilvl="2" w:tplc="63909414" w:tentative="1">
      <w:start w:val="1"/>
      <w:numFmt w:val="lowerRoman"/>
      <w:lvlText w:val="%3."/>
      <w:lvlJc w:val="right"/>
      <w:pPr>
        <w:ind w:left="2160" w:hanging="180"/>
      </w:pPr>
    </w:lvl>
    <w:lvl w:ilvl="3" w:tplc="63909414" w:tentative="1">
      <w:start w:val="1"/>
      <w:numFmt w:val="decimal"/>
      <w:lvlText w:val="%4."/>
      <w:lvlJc w:val="left"/>
      <w:pPr>
        <w:ind w:left="2880" w:hanging="360"/>
      </w:pPr>
    </w:lvl>
    <w:lvl w:ilvl="4" w:tplc="63909414" w:tentative="1">
      <w:start w:val="1"/>
      <w:numFmt w:val="lowerLetter"/>
      <w:lvlText w:val="%5."/>
      <w:lvlJc w:val="left"/>
      <w:pPr>
        <w:ind w:left="3600" w:hanging="360"/>
      </w:pPr>
    </w:lvl>
    <w:lvl w:ilvl="5" w:tplc="63909414" w:tentative="1">
      <w:start w:val="1"/>
      <w:numFmt w:val="lowerRoman"/>
      <w:lvlText w:val="%6."/>
      <w:lvlJc w:val="right"/>
      <w:pPr>
        <w:ind w:left="4320" w:hanging="180"/>
      </w:pPr>
    </w:lvl>
    <w:lvl w:ilvl="6" w:tplc="63909414" w:tentative="1">
      <w:start w:val="1"/>
      <w:numFmt w:val="decimal"/>
      <w:lvlText w:val="%7."/>
      <w:lvlJc w:val="left"/>
      <w:pPr>
        <w:ind w:left="5040" w:hanging="360"/>
      </w:pPr>
    </w:lvl>
    <w:lvl w:ilvl="7" w:tplc="63909414" w:tentative="1">
      <w:start w:val="1"/>
      <w:numFmt w:val="lowerLetter"/>
      <w:lvlText w:val="%8."/>
      <w:lvlJc w:val="left"/>
      <w:pPr>
        <w:ind w:left="5760" w:hanging="360"/>
      </w:pPr>
    </w:lvl>
    <w:lvl w:ilvl="8" w:tplc="63909414" w:tentative="1">
      <w:start w:val="1"/>
      <w:numFmt w:val="lowerRoman"/>
      <w:lvlText w:val="%9."/>
      <w:lvlJc w:val="right"/>
      <w:pPr>
        <w:ind w:left="6480" w:hanging="180"/>
      </w:pPr>
    </w:lvl>
  </w:abstractNum>
  <w:abstractNum w:abstractNumId="52698304">
    <w:multiLevelType w:val="hybridMultilevel"/>
    <w:lvl w:ilvl="0" w:tplc="148006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2698304">
    <w:abstractNumId w:val="52698304"/>
  </w:num>
  <w:num w:numId="52698305">
    <w:abstractNumId w:val="5269830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81126151" Type="http://schemas.openxmlformats.org/officeDocument/2006/relationships/numbering" Target="numbering.xml"/><Relationship Id="rId624776352"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