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62202201" w:name="document"/>
    <w:bookmarkEnd w:id="62202201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1019782 | FORUM Media (red) |
Muster | Korrespondenz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Meldung eines Data Breach bei der DSB</w:t>
      </w:r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A. Vertraulichkeit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Zutrittskontrolle: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 Schutz vor unbefugtem
Zutritt zu Datenverarbeitungsanlagen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Schlüssel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Magnet- oder
Chipkarten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Elektrische
Türöffner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Portier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Sicherheitspersonal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Alarmanlagen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Videoanlage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Einbruchshemmende
Fenster und/oder Sicherheitstüren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Anmeldung beim Empfang
mit Personenkontrolle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Begleitung von Besuchern
im Unternehmensgebäude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Tragen von
Firmen-/Besucherausweisen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Zugangskontrolle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 Schutz vor unbefugter
Systembenutzung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Kennwörter
(einschließlich entsprechender Policy)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Verschlüsselung von
Datenträgern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Automatische
Sperrmechanismen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
Zwei-Faktor-Authentifizierung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Zugriffskontrolle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 Kein unbefugtes Lesen,
Kopieren, Verändern oder Entfernen innerhalb des Systems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
Standard-Berechtigungsprofile auf „need to know-Basis“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Standardprozess für
Berechtigungsvergabe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Protokollierung von
Zugriffen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Sichere Aufbewahrung von
Speichermedien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Periodische Überprüfung
der vergebenen Berechtigungen, insb von administrativen
Benutzerkonten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Datenschutzgerechte
Wiederverwendung von Datenträgern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Datenschutzgerechte
Entsorgung nicht mehr benötigter Datenträger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Clear-Desk/Clear-Screen
Policy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Pseudonymisierung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 sofern für die jeweilige
Datenverarbeitung möglich, werden die primären
Identifikationsmerkmale der personenbezogenen Daten in der
jeweiligen Datenverarbeitung entfernt, und gesondert
aufbewahrt.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Klassifikationsschema für Daten: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 Aufgrund
gesetzlicher Verpflichtungen oder Selbsteinschätzung
(geheim/vertraulich/intern/öffentlich).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B. </w:t>
      </w: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Datenintegrität</w:t>
      </w: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color w:val="777777"/>
          <w:sz w:val="18"/>
          <w:szCs w:val="18"/>
        </w:rPr>
        <w:t xml:space="preserve"> (</w:t>
      </w:r>
      <w:r>
        <w:rPr>
          <w:rFonts w:ascii="Arial" w:hAnsi="Arial" w:eastAsia="Arial" w:cs="Arial"/>
          <w:b/>
          <w:bCs/>
          <w:color w:val="777777"/>
          <w:sz w:val="18"/>
          <w:szCs w:val="18"/>
        </w:rPr>
        <w:t xml:space="preserve">Fußnote: </w:t>
      </w:r>
      <w:r>
        <w:rPr>
          <w:rFonts w:ascii="Arial" w:hAnsi="Arial" w:eastAsia="Arial" w:cs="Arial"/>
          <w:b/>
          <w:bCs/>
          <w:color w:val="777777"/>
          <w:sz w:val="18"/>
          <w:szCs w:val="18"/>
        </w:rPr>
        <w:t xml:space="preserve">Verhinderung von (unbeabsichtigter) Zerstörung/Vernichtung,
(unbeabsichtigter) Schädigung, (unbeabsichtigtem) Verlust,
(unbeabsichtigter) Veränderung von personenbezogenen
Daten.</w:t>
      </w:r>
      <w:r>
        <w:rPr>
          <w:rFonts w:ascii="Arial" w:hAnsi="Arial" w:eastAsia="Arial" w:cs="Arial"/>
          <w:b/>
          <w:bCs/>
          <w:color w:val="777777"/>
          <w:sz w:val="18"/>
          <w:szCs w:val="18"/>
        </w:rPr>
        <w:t xml:space="preserve">) 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Weitergabekontrolle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 kein unbefugtes Lesen,
Kopieren, Verändern oder Entfernen bei elektronischer Übertragung
oder Transport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Verschlüsselung von
Datenträgern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Verschlüsselung von
Dateien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Virtual Private Networks
(VPN)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Elektronische
Signatur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Eingabekontrolle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 Feststellung, ob und von wem
personenbezogene Daten in Datenverarbeitungssysteme eingegeben,
verändert oder entfernt worden sind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Protokollierung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Dokumentenmanagement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C. Verfügbarkeit und Belastbarkeit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Verfügbarkeitskontrolle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 Schutz gegen zufällige
oder mutwillige Zerstörung bzw Verlust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Backup-Strategie
(online/offline; on-site/off-site)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Unterbrechungsfreie
Stromversorgung (USV, Dieselaggregat)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Virenschutz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Firewall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Meldewege und
Notfallpläne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Security Checks auf
Infrastruktur- und Applikationsebene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Mehrstufiges
Sicherungskonzept mit verschlüsselter Auslagerung der Sicherungen
in ein Ausweichrechenzentrum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Standardprozesse bei
Wechsel/Ausscheiden von Mitarbeitern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Rasche </w:t>
      </w: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Wiederherstellbarkeit: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D. Verfahren zur regelmäßigen Überprüfung, Bewertung und
Evaluierung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Datenschutz-Management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, einschließlich
regelmäßiger Mitarbeiter-Schulungen: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Incident-Response-Management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Datenschutzfreundliche Voreinstellungen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Auftragskontrolle: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 keine
Auftragsdatenverarbeitung iSv Art 28 DS-GVO ohne entsprechende
Weisung des Auftraggebers durch: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530"/>
        <w:gridCol w:w="4530"/>
      </w:tblGrid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Eindeutige
Vertragsgestaltung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Formalisiertes
Auftragsmanagement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Strenge Auswahl des
Auftragsverarbeiters (ISO-Zertifizierung, ISMS)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
Vorabüberzeugungspflicht</w:t>
            </w:r>
          </w:p>
        </w:tc>
      </w:tr>
      <w:tr>
        <w:trPr>
          <w:trHeight w:val="0" w:hRule="atLeast"/>
        </w:trPr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Nachkontrollen</w:t>
            </w:r>
          </w:p>
        </w:tc>
        <w:tc>
          <w:tcPr>
            <w:tcW w:w="45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Sonstiges: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954571">
    <w:multiLevelType w:val="hybridMultilevel"/>
    <w:lvl w:ilvl="0" w:tplc="86374113">
      <w:start w:val="1"/>
      <w:numFmt w:val="decimal"/>
      <w:lvlText w:val="%1."/>
      <w:lvlJc w:val="left"/>
      <w:pPr>
        <w:ind w:left="720" w:hanging="360"/>
      </w:pPr>
    </w:lvl>
    <w:lvl w:ilvl="1" w:tplc="86374113" w:tentative="1">
      <w:start w:val="1"/>
      <w:numFmt w:val="lowerLetter"/>
      <w:lvlText w:val="%2."/>
      <w:lvlJc w:val="left"/>
      <w:pPr>
        <w:ind w:left="1440" w:hanging="360"/>
      </w:pPr>
    </w:lvl>
    <w:lvl w:ilvl="2" w:tplc="86374113" w:tentative="1">
      <w:start w:val="1"/>
      <w:numFmt w:val="lowerRoman"/>
      <w:lvlText w:val="%3."/>
      <w:lvlJc w:val="right"/>
      <w:pPr>
        <w:ind w:left="2160" w:hanging="180"/>
      </w:pPr>
    </w:lvl>
    <w:lvl w:ilvl="3" w:tplc="86374113" w:tentative="1">
      <w:start w:val="1"/>
      <w:numFmt w:val="decimal"/>
      <w:lvlText w:val="%4."/>
      <w:lvlJc w:val="left"/>
      <w:pPr>
        <w:ind w:left="2880" w:hanging="360"/>
      </w:pPr>
    </w:lvl>
    <w:lvl w:ilvl="4" w:tplc="86374113" w:tentative="1">
      <w:start w:val="1"/>
      <w:numFmt w:val="lowerLetter"/>
      <w:lvlText w:val="%5."/>
      <w:lvlJc w:val="left"/>
      <w:pPr>
        <w:ind w:left="3600" w:hanging="360"/>
      </w:pPr>
    </w:lvl>
    <w:lvl w:ilvl="5" w:tplc="86374113" w:tentative="1">
      <w:start w:val="1"/>
      <w:numFmt w:val="lowerRoman"/>
      <w:lvlText w:val="%6."/>
      <w:lvlJc w:val="right"/>
      <w:pPr>
        <w:ind w:left="4320" w:hanging="180"/>
      </w:pPr>
    </w:lvl>
    <w:lvl w:ilvl="6" w:tplc="86374113" w:tentative="1">
      <w:start w:val="1"/>
      <w:numFmt w:val="decimal"/>
      <w:lvlText w:val="%7."/>
      <w:lvlJc w:val="left"/>
      <w:pPr>
        <w:ind w:left="5040" w:hanging="360"/>
      </w:pPr>
    </w:lvl>
    <w:lvl w:ilvl="7" w:tplc="86374113" w:tentative="1">
      <w:start w:val="1"/>
      <w:numFmt w:val="lowerLetter"/>
      <w:lvlText w:val="%8."/>
      <w:lvlJc w:val="left"/>
      <w:pPr>
        <w:ind w:left="5760" w:hanging="360"/>
      </w:pPr>
    </w:lvl>
    <w:lvl w:ilvl="8" w:tplc="863741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954570">
    <w:multiLevelType w:val="hybridMultilevel"/>
    <w:lvl w:ilvl="0" w:tplc="985243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954570">
    <w:abstractNumId w:val="70954570"/>
  </w:num>
  <w:num w:numId="70954571">
    <w:abstractNumId w:val="7095457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636090801" Type="http://schemas.openxmlformats.org/officeDocument/2006/relationships/numbering" Target="numbering.xml"/><Relationship Id="rId989170691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