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8939938" w:name="document"/>
    <w:bookmarkEnd w:id="28939938"/>
    <w:p/>
    <w:p>
      <w:pPr>
        <w:widowControl w:val="on"/>
        <w:pBdr/>
        <w:spacing w:before="0" w:after="280" w:line="240" w:lineRule="auto"/>
        <w:ind w:left="0" w:right="0"/>
        <w:jc w:val="left"/>
      </w:pPr>
      <w:r>
        <w:rPr>
          <w:rFonts w:ascii="Arial" w:hAnsi="Arial" w:eastAsia="Arial" w:cs="Arial"/>
          <w:color w:val="363A40"/>
          <w:sz w:val="24"/>
          <w:szCs w:val="24"/>
        </w:rPr>
        <w:t xml:space="preserve">Dokument-ID: 932401 | Alexander Koukal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Allgemeine Geschäftsbedingungen für E-Mail-Dienste</w:t>
      </w:r>
    </w:p>
    <w:p>
      <w:pPr>
        <w:widowControl w:val="on"/>
        <w:pBdr/>
        <w:spacing w:before="140" w:after="240" w:line="288" w:lineRule="auto"/>
        <w:ind w:left="0" w:right="0"/>
        <w:jc w:val="left"/>
      </w:pPr>
      <w:r>
        <w:rPr>
          <w:rFonts w:ascii="Arial" w:hAnsi="Arial" w:eastAsia="Arial" w:cs="Arial"/>
          <w:color w:val="000000"/>
          <w:sz w:val="20"/>
          <w:szCs w:val="20"/>
        </w:rPr>
        <w:t xml:space="preserve">Stand: …</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1. Vertragsparteien,
Anwendungsbereich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Vertragsparteien sind die Provider GmbH („Provider“),
Providerstraße 1, 0000 Providerort, und der Kunde.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Vertragsverhältnis zwischen Provider und dem Kunden liegen
ausschließlich die vorliegenden Allgemeinen Geschäftsbedingungen
(AGB) zugrunde.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Abweichende Geschäftsbedingungen des Kunden gelten nur, wenn
Provider diesen Bedingungen ausdrücklich und – bei Unternehmern im
Sinne des KSchG – schriftlich zustimmt.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Verarbeitung personenbezogener Daten als
Auftragsverarbeiter iSd Art 4 Z 8 DSGVO gelten ergänzend
die Bestimmungen des zwischen den Parteien geschlossenen
</w:t>
            </w:r>
            <w:r>
              <w:rPr>
                <w:rFonts w:ascii="Arial" w:hAnsi="Arial" w:eastAsia="Arial" w:cs="Arial"/>
                <w:color w:val="000000"/>
                <w:position w:val="0"/>
                <w:sz w:val="20"/>
                <w:szCs w:val="20"/>
                <w:shd w:val="clear" w:color="auto" w:fill="FFFFFF"/>
              </w:rPr>
              <w:t xml:space="preserve">Auftragsverarbeitungsvertrags.</w:t>
            </w:r>
            <w:bookmarkStart w:id="67598032" w:name="link1"/>
            <w:bookmarkEnd w:id="67598032"/>
            <w:hyperlink w:anchor="note1" w:history="1">
              <w:r>
                <w:rPr>
                  <w:rFonts w:ascii="Arial" w:hAnsi="Arial" w:eastAsia="Arial" w:cs="Arial"/>
                  <w:b/>
                  <w:bCs/>
                  <w:color w:val="006BB6"/>
                  <w:position w:val="4"/>
                  <w:sz w:val="22"/>
                  <w:szCs w:val="22"/>
                  <w:shd w:val="clear" w:color="auto" w:fill="FFFFFF"/>
                  <w:vertAlign w:val="superscript"/>
                </w:rPr>
                <w:t xml:space="preserve">1</w:t>
              </w:r>
            </w:hyperlink>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Angebot und
Vertragsabschluss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Vertragsverhältnis zwischen dem Kunden und dem Provider
kommt durch Annahme des Angebots des Kunden durch den Provider
zustande.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kann sein Angebot durch ein Bestellformular, eine
Onlinebestellung oder telefonisch abgeben. Der Provider bestätigt
dem Kunden den Erhalt des Angebots. Darin liegt noch keine Annahme
des Angebots. Der Vertrag zwischen dem Kunden und dem Provider
kommt dadurch zustande, dass der Provider die vertraglich
geschuldete Leistung bereitstellt (Erfüllung) oder das Angebot des
Kunden schriftlich (dazu genügt ein E-Mail) annimmt.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behält sich vor, die Bonität des Kunden vorab zu
prüfen und das Angebot nur nach positiver Prüfung anzunehmen.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Leistungsbeginn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schaltet die vom Kunden bestellten Leistungen (zB
E-Mail-Accounts) in der Regel unmittelbar nach Bestellung,
spätestens innerhalb von drei Werktagen ab Vertragsabschluss frei.
Handelt es sich bei dem Vertrag um ein im Fernabsatz (FAGG) mit
einem Verbraucher abgeschlossenes Geschäft, so gilt dies nur unter
der Voraussetzung, dass der Kunde ausdrücklich den Beginn der
Leistungserbringung vor Ablauf der Rücktritts-/Widerrufsfrist
verlangt hat; andernfalls erfolgt die Freischaltung erst nach
Ablauf der Rücktritts-/Widerrufsfrist.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Leistungen des Providers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stellt dem Kunden nach Maßgabe dieser Allgemeinen
Geschäftsbedingungen und entsprechend dem mit dem Kunden
vereinbarten Leistungspaket ein oder mehrere E-Mail-Postfächer zur
Verfügung und ermöglicht ihm, den Versand und das Empfangen von
elektronischer Post (E-Mails). Die Nutzung der E-Mail-Postfächer
ist über den Internetbrowser des Kunden (Webmail) oder über beim
Kunden installierte Software (Mailclient) möglich.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erbringt die vertraglichen Leistungen im Rahmen der
ihm zur Verfügung stehenden technischen und betrieblichen
Möglichkeiten. Leistungsfristen und Termine sind nur dann
verbindlich, wenn sie ausdrücklich und – bei Unternehmern im Sinne
des KSchG – schriftlich als verbindlich vereinbart wurden.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dem Kunden bereitgestellten Leistungen sind grundsätzlich 24
Stunden pro Tag verfügbar. Der Kunde nimmt zustimmend zur Kenntnis,
dass es in Fällen höherer Gewalt, je nach Auslastung, Verkehrslage
bzw Betriebszustand der für den Zugang zum Internet erforderlichen
Telekommunikationseinrichtungen und -netze und während notwendiger
Wartungsarbeiten zu Einschränkungen oder Unterbrechungen der
Leistungen kommen kann.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dazu berechtigt, seine Leistungen vorübergehend
zu unterbrechen bzw einzuschränken und/oder die vertraglich
vereinbarten Dienste ganz oder teilweise einzustellen, wenn und
soweit dies zur Behebung oder Vermeidung von Störungen, Abwehr von
Angriffen auf die Netzinfrastruktur oder zur Vornahme
betriebsnotwendiger Arbeiten erforderlich ist. Der Provider wird
jede Einschränkung und Störung im Rahmen der ihm zur Verfügung
stehenden technischen und betrieblichen Möglichkeiten ehest möglich
beheben.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für den Kunden eingehende
Nachrichten an den Absender zurückzusenden, wenn die im jeweiligen
Tarif vorgesehenen Kapazitätsgrenzen überschritten sind. Der
Provider darf die Größe der ein- und ausgehenden Nachrichten
beschränken.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den Transport ein- und ausgehender
E-Mails abzulehnen oder zu verzögern, wenn er hinreichenden Grund
zur Annahme hat, dass die jeweiligen Nachrichten Viren, Würmer,
Trojaner oder andere schädliche Software enthalten, die
Absenderinformationen falsch oder verschleiert sind oder es sich um
unaufgeforderte kommerzielle Kommunikation (Spam) handelt.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nimmt zustimmend zur Kenntnis, dass der Provider den
Datenverkehr im Fall einer behördlichen oder gerichtlichen
Anordnung entsprechend dieser Anordnung einschränken oder ganz
sperren muss. Insofern trifft den Provider keine uneingeschränkte
Verpflichtung zum Datenverkehr. Gleiches gilt in Fällen, wenn sich
der Provider anderenfalls selbst der Gefahr rechtlicher Verfolgung
aussetzen würde.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Voraussetzung für die Nutzung der vertragsgegenständlichen
Leistungen ist ein aufrechter Internetzugang des Kunden.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entgeltliche Zurverfügungstellung der gegenständlichen
Leistungen an Dritte ist dem Kunden nur mit ausdrücklicher
Zustimmung des Providers gestattet.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Pflichten des Kunden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darf die ihm zur Verfügung gestellten Leistungen
ausschließlich für rechtmäßige Zwecke nutzen. Er verpflichtet sich,
bei der Nutzung nicht gegen gesetzliche Ge- und Verbote (zB
Wettbewerbsrecht und Datenschutzrecht) zu handeln und nicht in die
Rechte Dritter (zB Urheber-, Leistungsschutz-, Marken- und andere
Immaterialgüterrechte, Namens- und Persönlichkeitsrechte)
einzugreifen. Er darf die Sicherheit und Integrität anderer
Rechnersystem nicht verletzen. Der Kunde wird über die Leistungen
des Providers keine pornografischen, Gewalt verherrlichenden oder
gegen das Verbotsgesetz verstoßende Inhalte zugänglich machen. Die
von ihm gewählten E-Mail-Adressen dürfen nicht gegen gesetzliche
Ge- und Verbote, Rechte Dritter oder die guten Sitten
verstoßen.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hat seine Zugangsdaten (Username, Passwort) sicher zu
verwahren und vor dem Zugriff durch unberechtigte Dritte zu
schützen. Er hat den Provider unverzüglich davon zu informieren,
sobald er davon Kenntnis erlangt, dass die Zugangsdaten unbefugten
Dritten bekannt geworden sind oder unberechtigte Dritte auf den
Dienst des Kunden zugegriffen haben.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Versendung von unaufgeforderter kommerzieller Kommunikation
(Spam) ist dem Kunden untersagt. Weiters ist dem Kunden untersagt,
die Identität des Absenders zu verschleiern. Im Fall eines
Verstoßes ist der Provider dazu berechtigt, das betreffende
E-Mail-Postfach des Kunden vorübergehend zu sperren.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ist verpflichtet, jede Änderung seiner dem Provider
bekanntgegebenen Daten (ua Name bzw Firma, Anschrift,
E-Mail-Adresse, Bankverbindung) unverzüglich, spätestens jedoch
innerhalb von 14 Tagen ab der Änderung, schriftlich zu melden.
Mitteilungen des Providers an die zuletzt bekannt gegebene
Anschrift oder E-Mail-Adresse gelten dem Kunden gegenüber als
zugegangen, wenn der Kunde keine neuen Kontaktdaten bekanntgegeben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Zahlungsbedingungen, Verzug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Abrechnung der vertragsgegenständlichen Leistungen erfolgt
gemäß dem jeweils mit dem Kunden vereinbarten Zahlungsmodus. In der
Regel sind einmalige Entgelte für die Installation und
Bereitstellung von Diensten vom Kunden im Voraus oder zusammen mit
dem ersten monatlichen Entgelt, monatliche Entgelte (Grundentgelte,
Pauschalentgelte, Servicegebühren) am Ende der Abrechnungsperiode
zu 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Vertragsparteien vereinbaren die Wertbeständigkeit aller
Entgelte, wobei als Wertmaßstab der von der Bundesanstalt Statistik
Austria monatlich verlautbarte Index der Verbraucherpreise 2020
dient. Das Wartungsentgelt erhöht sich jährlich in dem Maß, das
sich aus der Veränderung des Verbraucherpreisindex 2020 im
Jahresabstand gegenüber dem Monat des Abschlusses dieses Vertrags
bzw der letzten Erhöhung oder Minderung des Wartungsentgelts
ergibt. Sollte der oben genannte Index nicht mehr veröffentlicht
werden, ist der Anbieter berechtigt, den amtlichen Nachfolgeindex
oder einen anderen vergleichbaren Index, wie er von der
Bundesanstalt Statistik Austria oder deren Rechtsnachfolger oder
einer ähnlichen Institution ermittelt wird, anzuwenden.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Rechnungen des Providers sind innerhalb von sieben Kalendertagen
ab Erhalt zahlbar.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hat alle dem Provider infolge einer Nichteinlösung
eines von ihm erteilten Einziehungsauftrags entstandenen Spesen zu
ersetzen.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mit der Bezahlung der Entgeltforderungen des
Providers in Verzug, hat er dem Provider Verzugszinsen in der
jeweils gesetzlichen Höhe zu bezahlen. Darüber hinaus hat der Kunde
dem Provider alle für das Einschreiten von Inkassoinstituten
und/oder Rechtsanwälten anfallenden zweckentsprechenden,
angemessenen und notwendigen Kosten zu ersetzen. Hinsichtlich eines
eingeschalteten Inkassoinstituts betragen die zu ersetzenden Kosten
maximal jene Vergütung, die sich aus der Verordnung des
Bundesministers für wirtschaftliche Angelegenheiten über die
Höchstsätze der Inkassoinstituten gebührenden Vergütungen,
BGBl Nr 141/1996, in der jeweiligen Fassung, ergeben.
Hinsichtlich eines eingeschalteten Rechtsanwaltes betragen die zu
ersetzenden Kosten maximal die sich aus den Allgemeinen
Honorar-Kriterien (AHK) der Rechtsanwälte vom 30.06.2021 idgF und
aus dem Rechtsanwaltstarifgesetz, BGBl Nr 189/1969, idgF
ergebenden Beträge. Diese Normen sind im Internet unter </w:t>
            </w:r>
            <w:hyperlink r:id="rId86406a9fd7318f6e7" w:history="1">
              <w:r>
                <w:rPr>
                  <w:rFonts w:ascii="Arial" w:hAnsi="Arial" w:eastAsia="Arial" w:cs="Arial"/>
                  <w:color w:val="006BB6"/>
                  <w:position w:val="0"/>
                  <w:sz w:val="20"/>
                  <w:szCs w:val="20"/>
                  <w:shd w:val="clear" w:color="auto" w:fill="FFFFFF"/>
                </w:rPr>
                <w:t xml:space="preserve">www.oerak.at</w:t>
              </w:r>
            </w:hyperlink>
            <w:r>
              <w:rPr>
                <w:rFonts w:ascii="Arial" w:hAnsi="Arial" w:eastAsia="Arial" w:cs="Arial"/>
                <w:color w:val="000000"/>
                <w:position w:val="0"/>
                <w:sz w:val="20"/>
                <w:szCs w:val="20"/>
                <w:shd w:val="clear" w:color="auto" w:fill="FFFFFF"/>
              </w:rPr>
              <w:t xml:space="preserve"> abrufbar.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dem Kunden bis zu drei monatliche
Entgelte im Voraus in Rechnung zu stellen.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Aufrechnung,
Zurückbehaltungsrecht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Unternehmer im Sinne des KSchG ist und das
konkrete Geschäft das Unternehmen des Kunden betrifft, darf er,
ausgenommen bei Zahlungsunfähigkeit des Provider, nicht mit
Forderungen gegen den Provider aufrechnen. Ist der Kunde
Verbraucher iSd KSchG, darf er gegen Forderungen des Provider
ausschließlich mit Forderungen aufrechnen, die im rechtlichen
Zusammenhang mit der Verbindlichkeit des Kunden gegenüber dem
Provider stehen, sowie mit gerichtlich festgestellten oder vom
Provider anerkannten Forderungen sowie im Fall der
Zahlungsunfähigkeit des Provider.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kann, wenn er Unternehmer im Sinne des KSchG ist und
das konkrete Geschäft das Unternehmen des Kunden betrifft, ein
Zurückbehaltungsrecht nur ausüben, wenn sein Gegenanspruch auf
demselben Vertragsverhältnis beruht. Dies gilt nicht für
Verbraucher im Sinne des KSchG.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Haftungsbeschränkung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Verbraucher im Sinne des KSchG, richtet sich die
Haftung des Providers nach den gesetzlichen Bestimmungen.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Unternehmer Sinne des KSchG, haftet der Provider
für die von ihm dem Kunden verursachten Schäden ausschließlich für
Vorsatz und grobe Fahrlässigkeit. Dies gilt nicht für Schäden an
der Person. Die Haftung ist weiters für höhere Gewalt, Folgeschäden
und entgangenen Gewinn ausgeschlossen. Soweit rechtlich zulässig,
haftet der Provider nicht für den Verlust und die Beschädigung von
Daten, wenn der Kunde keine geeigneten und dem Stand der Technik
entsprechenden Datensicherungsmaßnahmen (Backups) getroffen hat.
Der Ersatz von Schäden (unter Ausnahme von Personenschäden) ist für
jedes schadenverursachende Ereignis gegenüber dem einzelnen
Geschädigten für Unternehmer mit EUR …, gegenüber der
Gesamtheit der Geschädigten mit EUR …, beschränkt. Wenn der
Gesamtschaden höher ist, verringern sich die Ersatzansprüche der
einzelnen Geschädigten anteilig.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Kunden ist bewusst, dass die Nutzung des Internet mit
Risiken (zB Befall mit Computerviren und Trojanern,
Phishing-Attacken, Ausspionieren von Daten, Betrugsversuche)
verbunden ist. Der Kunde kann dieses Risiko auch durch sein eigenes
Verhalten steuern.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Gewährleistung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Unternehmer im Sinne des KSchG ist und das
konkrete Geschäft das Unternehmen des Kunden betrifft, gilt
Folgendes: Der Kunde hat Mängel aussagekräftig zu dokumentieren und
dem Provider innerhalb von zwei Wochen schriftlich zu melden und
den Provider bei der Mängelbeseitigung nach Kräften zu
unterstützen.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Gewährleistung gegenüber Kunden, die Verbraucher im Sinne
des KSchG sind, richtet sich nach den gesetzlichen
Bestimmungen.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anerkennt, dass die erfolgreiche Weiterleitung sowie
der erfolgreiche Empfang von Nachrichten von Erreichbarkeit,
Auslastung und Betrieb von Netzwerkinfrastruktur abhängig ist, die
teilweise außerhalb der Kontrolle und des Einflussbereiches des
Provider liegen. Spam-Filter, Virenfilter, Firewall- oder sonstige
können Weiterleitung und Empfang von E-Mails verzögern oder ganz
verhindern.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Auskunft gegenüber Behörden und
Dritten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nimmt zustimmend zur Kenntnis, dass der Provider im
Fall eines berechtigten Begehrens eines Gerichts, einer
Verwaltungsbehörde oder eines Dritten Daten zu seiner Person nach
Maßgabe der jeweiligen gesetzlichen Anforderungen (zB nach
§ 13 ECG und nach der DSGVO) bekanntgeben wird. Zu diesen
Daten zählen jedenfalls sein Vor- und Nachname, seine Postanschrift
und seine E-Mail-Adresse.</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Inanspruchnahme des Providers,
Haftungsfreistellung durch den Kunden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Wird der Provider von Dritten mit einer angeblichen
Rechtsverletzung konfrontiert, die auf Inhalte zurückgeht, die der
Kunde unter Nutzung der vertragsgegenständlichen Leistungen online
zugänglich gemacht hat, wird er den Kunden davon verständigen. Der
Kunde hat den Provider ohne Aufschub und nach Kräften bei der
Aufklärung und ggf rechtlichen Verteidigung zu unterstützen. Der
Provider ist nicht dazu verpflichtet, über seine Leistungen
versandte und empfangene Inhalte des Kunden laufend auf
Rechtmäßigkeit zu überprüfen.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verpflichtet sich, den Provider von sämtlichen
Ansprüchen Dritter freizustellen, die diese wegen einer Verletzung
ihrer Rechte durch Inhalte geltend machen, die der Kunde unter
Nutzung der vertragsgegenständlichen Leistungen online zugänglich
gemacht hat. Dies gilt insbesondere für Ansprüche in den in Punkt
5.1 dieser AGB angeführten Fällen. Diese Schad- und Klagloshaltung
schließt die Kosten einer gerichtlichen und außergerichtlichen
Verteidigung mit ein.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Laufzeit, Kündigung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zwischen den Parteien nichts Abweichendes vereinbart ist,
wird das Vertragsverhältnis auf unbestimmte Zeit abgeschlossen und
kann von beiden Parteien unter Einhaltung einer Frist von vier
Wochen zum Letzten eines Kalendermonats gekündigt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eine Mindestvertragsdauer vereinbart, können die Parteien
den Vertrag erstmals zum Ablauf der Mindestvertragsdauer
(Stichtag), sodann zum Ablauf von 12 Monaten gerechnet ab dem
Stichtag und in weiterer Folge jeweils zum Ablauf von weiteren 12
Monaten kündigen. Die Kündigung muss unter Einhaltung einer
Kündigungsfrist von 4 Wochen erfolgen.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Recht beider Vertragsparteien, das Vertragsverhältnis
jederzeit aus wichtigem Grund zu lösen, bleibt unberührt. Ein
wichtiger Grund für eine außerordentliche Kündigung durch den
Provider liegt insbesondere vor, wenn der Kunde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seit mindestens einem Monat in Zahlungsverzug ist und trotz
Mahnung unter Setzung einer angemessenen Nachfrist von vierzehn
Tagen und unter Androhung der Kündigung weiterhin keine Zahlung
leistet;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schuldhaft gegen eine wesentliche vertragliche Pflicht verstößt,
die dem Provider eine Fortsetzung des Vertragsverhältnisses
unzumutbar macht, und trotz Mahnung unter Setzung einer
angemessenen Nachfrist und unter Androhung der Kündigung keine
Abhilfe schafft;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12.3.3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Nutzung der Leistungen des Provider Inhalte online
zugänglich macht, die gegen das Strafrecht (zB Pornografiegesetz,
Verbotsgesetz, Betrugs- und Phishingversuche) verstoßen, oder in
Urheber-, Leistungsschutz-, Marken- und sonstige
Immaterialgüterrechte Dritter oder Persönlichkeitsrechte Dritter
eingreifen.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Kündigung kann schriftlich oder per E-Mail erfolgen. Der
Kunde kann die Kündigung auch über seinen Kundenaccount
aussprechen. Ist der Kunde Verbraucher iSd KSchG, ist seine
Kündigung an keine Form </w:t>
            </w:r>
            <w:r>
              <w:rPr>
                <w:rFonts w:ascii="Arial" w:hAnsi="Arial" w:eastAsia="Arial" w:cs="Arial"/>
                <w:color w:val="000000"/>
                <w:position w:val="0"/>
                <w:sz w:val="20"/>
                <w:szCs w:val="20"/>
                <w:shd w:val="clear" w:color="auto" w:fill="FFFFFF"/>
              </w:rPr>
              <w:t xml:space="preserve">gebunden.</w:t>
            </w:r>
            <w:bookmarkStart w:id="6463065" w:name="link2"/>
            <w:bookmarkEnd w:id="6463065"/>
            <w:hyperlink w:anchor="note2" w:history="1">
              <w:r>
                <w:rPr>
                  <w:rFonts w:ascii="Arial" w:hAnsi="Arial" w:eastAsia="Arial" w:cs="Arial"/>
                  <w:b/>
                  <w:bCs/>
                  <w:color w:val="006BB6"/>
                  <w:position w:val="4"/>
                  <w:sz w:val="22"/>
                  <w:szCs w:val="22"/>
                  <w:shd w:val="clear" w:color="auto" w:fill="FFFFFF"/>
                  <w:vertAlign w:val="superscript"/>
                </w:rPr>
                <w:t xml:space="preserve">2</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Kündigung eines einzelnen Produktes oder von zu einem
Produkt zusätzlich gewählten Optionen lässt das übrige
Vertragsverhältnis unberührt. Dem Kunden ist bewusst, dass eine
Kündigung des Vertragsverhältnisses mit dem Provider nichts an
einem allfälligen Vertragsverhältnis mit der Domainvergabestelle
über eine an ihn delegierte Internetdomain ändert. Will der Kunde
diese Domain nicht weiter nutzen, so muss er die Domain ebenfalls
kündigen.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Kunden ist bewusst, dass der Provider nach einer Kündigung
nicht zur Speicherung der in E-Mail-Postfächern vorhandenen
Inhalten verpflichtet ist. Er wird dem Kunden eine angemessene
Frist für die Sicherung dieser Inhalte zur Verfügung </w:t>
            </w:r>
            <w:r>
              <w:rPr>
                <w:rFonts w:ascii="Arial" w:hAnsi="Arial" w:eastAsia="Arial" w:cs="Arial"/>
                <w:color w:val="000000"/>
                <w:position w:val="0"/>
                <w:sz w:val="20"/>
                <w:szCs w:val="20"/>
                <w:shd w:val="clear" w:color="auto" w:fill="FFFFFF"/>
              </w:rPr>
              <w:t xml:space="preserve">stellen.</w:t>
            </w:r>
            <w:bookmarkStart w:id="56717747" w:name="link3"/>
            <w:bookmarkEnd w:id="56717747"/>
            <w:hyperlink w:anchor="note3" w:history="1">
              <w:r>
                <w:rPr>
                  <w:rFonts w:ascii="Arial" w:hAnsi="Arial" w:eastAsia="Arial" w:cs="Arial"/>
                  <w:b/>
                  <w:bCs/>
                  <w:color w:val="006BB6"/>
                  <w:position w:val="4"/>
                  <w:sz w:val="22"/>
                  <w:szCs w:val="22"/>
                  <w:shd w:val="clear" w:color="auto" w:fill="FFFFFF"/>
                  <w:vertAlign w:val="superscript"/>
                </w:rPr>
                <w:t xml:space="preserve">3</w:t>
              </w:r>
            </w:hyperlink>
            <w:r>
              <w:rPr>
                <w:rFonts w:ascii="Arial" w:hAnsi="Arial" w:eastAsia="Arial" w:cs="Arial"/>
                <w:color w:val="000000"/>
                <w:position w:val="0"/>
                <w:sz w:val="20"/>
                <w:szCs w:val="20"/>
                <w:shd w:val="clear" w:color="auto" w:fill="FFFFFF"/>
              </w:rPr>
              <w:t xml:space="preserve"> Es liegt in der
Verantwortung des Kunden, die Inhalte rechtzeitig vor dem
Vertragsende zu sichern.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kostenlose Leistungspakete gilt darüber hinaus: Der Provider
ist dazu berechtigt, E-Mail-Postfächer, die der Kunde sechs Monate
lang weder per Webbowser noch per Mailclient genutzt hat, auf
„inaktiv“ zu setzen und die darin gespeicherten Inhalte ohne
Rückfrage beim Kunden zu löschen. Nach Ablauf eines weiteren Jahres
darf der Provider ein derartiges inaktives E-Mail-Postfach
freigeben und die Adresse anderen Nutzern anbieten.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Sperre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die Erbringung von Leistungen ganz
oder teilweise zu verweigern, wenn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 Grund vorliegt, der den Provider zu einer Kündigung dieses
Vertrags aus wichtigem Grund berechtigt;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gegenüber dem Provider mit Zahlungsverpflichtungen in
Verzug ist und vom Provider unter Setzung einer angemessenen
Nachfrist von zumindest zwei Wochen und gleichzeitiger Androhung
der Sperre erfolglos gemahnt wurde;</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13.1.3</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dem Kunden ein außergerichtlicher Sanierungsversuch
unternommen wurde, über das Vermögen des Kunden ein
Insolvenzverfahren eröffnet oder ein solches Verfahren mangels
kostendeckenden Vermögens nicht eröffnet wurde, die Bonität des
Kunden aus anderen Gründen nicht mehr gegeben ist und der Kunde
unter Setzung einer angemessenen Nachfrist von zumindest zwei
Wochen und gleichzeitiger Androhung der Sperre erfolglos gemahnt
wurde; für Unternehmer gelten die Bestimmungen der §§ 25a und
25b IO;</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13.1.4</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begründeten Verdacht hat, dass der Kunde die
Leistungen des Providers rechtswidrig missbraucht oder den
Missbrauch durch Dritte ermöglicht oder duldet;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13.1.5</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Kunde die Sicherheit und Integrität anderer Rechnersysteme
gefährdet und das gefährdende Verhalten nicht ohne schuldhafte
Verzögerung beendet, nachdem er davon Kenntnis erlangt hat.</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der Kunde die Gründe für die Sperre zu vertreten hat oder
der zur Sperre führende Verdacht berechtigt ist, ist er auch für
den Zeitraum der Sperre zur Zahlung der Entgelte verpflichtet.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die Sperre unverzüglich aufzuheben, sobald die
Gründe für ihre Durchführung entfallen sind und der Kunde, wenn er
die Gründe für die Sperre zu vertreten hat, die Kosten für
Einrichtung und Aufhebung der Sperre gemäß den maßgeblichen
Entgeltbestimmungen ersetzt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Datenschutz und </w:t>
      </w:r>
      <w:r>
        <w:rPr>
          <w:rFonts w:ascii="Arial" w:hAnsi="Arial" w:eastAsia="Arial" w:cs="Arial"/>
          <w:b/>
          <w:bCs/>
          <w:color w:val="363A40"/>
          <w:sz w:val="28"/>
          <w:szCs w:val="28"/>
        </w:rPr>
        <w:t xml:space="preserve">Datensicherheit</w:t>
      </w:r>
      <w:bookmarkStart w:id="32432193" w:name="link4"/>
      <w:bookmarkEnd w:id="32432193"/>
      <w:hyperlink w:anchor="note4" w:history="1">
        <w:r>
          <w:rPr>
            <w:rFonts w:ascii="Arial" w:hAnsi="Arial" w:eastAsia="Arial" w:cs="Arial"/>
            <w:b/>
            <w:bCs/>
            <w:color w:val="006BB6"/>
            <w:position w:val="6"/>
            <w:sz w:val="31"/>
            <w:szCs w:val="31"/>
            <w:vertAlign w:val="superscript"/>
          </w:rPr>
          <w:t xml:space="preserve">4</w:t>
        </w:r>
      </w:hyperlink>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Soweit der Provider personenbezogene Daten im Auftrag des Kunden
verarbeitet, ist er Auftragsverarbeiter iSv Art 4 Z 8
DSGVO. Für die Zulässigkeit der Datenverarbeitung und -nutzung
sowie für die Wahrnehmung der Rechte der Betroffenen ist der Kunde
als Verantwortlicher iSv Art 4 Z 7 DSGVO verantwortlich.
Art und Zweck der Verarbeitung ergeben sich aus der jeweils
zwischen den Parteien getroffenen Einzelvereinbarung.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verarbeitet bei der gegenständlichen
Leistungserbringung folgende Kategorien von Daten im Auftrag des
Kunden: </w:t>
            </w:r>
            <w:r>
              <w:rPr>
                <w:rFonts w:ascii="Arial" w:hAnsi="Arial" w:eastAsia="Arial" w:cs="Arial"/>
                <w:color w:val="000000"/>
                <w:position w:val="0"/>
                <w:sz w:val="20"/>
                <w:szCs w:val="20"/>
                <w:shd w:val="clear" w:color="auto" w:fill="FFFFFF"/>
              </w:rPr>
              <w:t xml:space="preserve">…</w:t>
            </w:r>
            <w:bookmarkStart w:id="3091658" w:name="link5"/>
            <w:bookmarkEnd w:id="3091658"/>
            <w:hyperlink w:anchor="note5" w:history="1">
              <w:r>
                <w:rPr>
                  <w:rFonts w:ascii="Arial" w:hAnsi="Arial" w:eastAsia="Arial" w:cs="Arial"/>
                  <w:b/>
                  <w:bCs/>
                  <w:color w:val="006BB6"/>
                  <w:position w:val="4"/>
                  <w:sz w:val="22"/>
                  <w:szCs w:val="22"/>
                  <w:shd w:val="clear" w:color="auto" w:fill="FFFFFF"/>
                  <w:vertAlign w:val="superscript"/>
                </w:rPr>
                <w:t xml:space="preserve">5</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können dabei personenbezogene Daten von folgenden Kategorien
von betroffenen Personen verarbeitet werden: </w:t>
            </w:r>
            <w:r>
              <w:rPr>
                <w:rFonts w:ascii="Arial" w:hAnsi="Arial" w:eastAsia="Arial" w:cs="Arial"/>
                <w:color w:val="000000"/>
                <w:position w:val="0"/>
                <w:sz w:val="20"/>
                <w:szCs w:val="20"/>
                <w:shd w:val="clear" w:color="auto" w:fill="FFFFFF"/>
              </w:rPr>
              <w:t xml:space="preserve">…</w:t>
            </w:r>
            <w:bookmarkStart w:id="21335394" w:name="link6"/>
            <w:bookmarkEnd w:id="21335394"/>
            <w:hyperlink w:anchor="note6" w:history="1">
              <w:r>
                <w:rPr>
                  <w:rFonts w:ascii="Arial" w:hAnsi="Arial" w:eastAsia="Arial" w:cs="Arial"/>
                  <w:b/>
                  <w:bCs/>
                  <w:color w:val="006BB6"/>
                  <w:position w:val="4"/>
                  <w:sz w:val="22"/>
                  <w:szCs w:val="22"/>
                  <w:shd w:val="clear" w:color="auto" w:fill="FFFFFF"/>
                  <w:vertAlign w:val="superscript"/>
                </w:rPr>
                <w:t xml:space="preserve">6</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Daten und Verarbeitungsergebnisse
ausschließlich auf Basis und im Rahmen von dokumentierten Weisungen
des Kunden zu verarbeiten. Solche Weisungen können auch
elektronisch erfolgen. Eine Verarbeitung der Daten für eigene
Zwecke des Providers bedarf eines gesonderten, dokumentierten
Auftrags. Der Provider wird den Kunden davon informieren, wenn er
der Ansicht ist, dass eine Weisung mit dem Datenschutzrecht nicht
vereinbar ist. Die Weisungen müssen vom Kunden rechtzeitig erteilt
werden. Die Erfüllung von Weisungen, die über den vereinbarten
Leistungsumfang hinausgehen, ist vom Kunden gesondert zu
vergüten.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Erteilt eine Behörde dem Provider den Auftrag, Daten des Kunden
herauszugeben, wird der Provider den Kunden – sofern gesetzlich
zulässig – unverzüglich darüber informieren und die Behörde an den
Kunden verweisen.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hat alle mit der Datenverarbeitung beauftragten
Personen vor Aufnahme der Tätigkeit zur Vertraulichkeit
verpflichtet, sofern diese nicht ohnehin einer angemessenen
gesetzlichen Verschwiegenheitsverpflichtung unterliegen. Die
Verschwiegenheitsverpflichtung bleibt auch nach Beendigung der
Tätigkeit durch diese Personen und nach deren Ausscheiden beim
Provider aufrecht.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sowie der Kunde werden alle erforderlichen
technischen und organisatorischen Maßnahmen zur Gewährleistung der
Sicherheit der Datenverarbeitung iSd Art 32 DSGVO treffen.
Einzelheiten sind im Anhang zur jeweiligen Einzelvereinbarung
</w:t>
            </w:r>
            <w:r>
              <w:rPr>
                <w:rFonts w:ascii="Arial" w:hAnsi="Arial" w:eastAsia="Arial" w:cs="Arial"/>
                <w:color w:val="000000"/>
                <w:position w:val="0"/>
                <w:sz w:val="20"/>
                <w:szCs w:val="20"/>
                <w:shd w:val="clear" w:color="auto" w:fill="FFFFFF"/>
              </w:rPr>
              <w:t xml:space="preserve">geregelt.</w:t>
            </w:r>
            <w:bookmarkStart w:id="55645974" w:name="link7"/>
            <w:bookmarkEnd w:id="55645974"/>
            <w:hyperlink w:anchor="note7" w:history="1">
              <w:r>
                <w:rPr>
                  <w:rFonts w:ascii="Arial" w:hAnsi="Arial" w:eastAsia="Arial" w:cs="Arial"/>
                  <w:b/>
                  <w:bCs/>
                  <w:color w:val="006BB6"/>
                  <w:position w:val="4"/>
                  <w:sz w:val="22"/>
                  <w:szCs w:val="22"/>
                  <w:shd w:val="clear" w:color="auto" w:fill="FFFFFF"/>
                  <w:vertAlign w:val="superscript"/>
                </w:rPr>
                <w:t xml:space="preserve">7</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unterstützt den Kunden nach Möglichkeit mit
geeigneten technischen und organisatorischen Maßnahmen bei dessen
Pflicht zur Erfüllung der Rechte der betroffenen Personen, ua auf
Information, Auskunft, Berichtigung, Einschränkung, Löschung,
Datenübertragbarkeit und Widerspruch, und liefert ihm dazu
innerhalb angemessener Frist alle notwendigen Informationen.
Richtet ein Betroffener einen Antrag an den Provider, weil er
diesen irrtümlicherweise für den Verantwortlichen hält, wird der
Provider den Betroffenen informieren und diesen Antrag an den
Kunden weiterleiten.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unterstützt den Kunden nach Maßgabe seiner
Kapazitäten bei der Einhaltung der in Art 32 bis 36 DSGVO
genannten Pflichten.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gewährt dem Kunden nach Maßgabe seiner Kapazitäten
gegen rechtzeitige Vorankündigung zu den üblichen Bürozeiten
Einsichtnahme hinsichtlich der ihm vom Kunden überlassenen
personenbezogenen Daten.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nach Beendigung dieser Vereinbarung
verpflichtet, alle personenbezogenen Daten nach Wahl des Kunden
entweder zu löschen oder zurückzugeben, sofern ihn keine rechtliche
Pflicht zur Speicherung trifft.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ist berechtigt, Unterauftragsverarbeiter
hinzuzuziehen. Er wird jedem Unterauftragsverarbeiter vertraglich
dieselben Pflichten auferlegen, wie er sie nach diesem Punkt 14.
gegenüber dem Kunden zu erfüllen hat.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15. Änderung des Vertrages und der
AGB</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AGB und Leistungsbeschreibungen sind in der jeweils
aktuellen und in allen vorangehenden Fassungen auf der Website des
Provider (https://…) abrufbar.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ein Unternehmer iSd KSchG, gilt: Der Provider ist
berechtigt, diese AGB und die Leistungsbeschreibungen zu ändern, um
diese an geänderte technische oder wirtschaftliche
Rahmenbedingungen anzupassen. Er teilt alle Änderungen der
Bedingungen und der Leistung sowie den Zeitpunkt deren
Inkrafttretens klar und verständlich mit. Die geänderten
Bedingungen erlangen Wirksamkeit, wenn der Kunde ihrer Geltung
nicht spätestens sechs Wochen vor diesem Zeitpunkt widerspricht und
damit das Vertragsverhältnis zu diesem Zeitpunkt kostenlos kündigt.
Der Provider wird den Kunden ausdrücklich bei der Mitteilung der
Änderung der Bedingungen auf diese Frist und die rechtlichen Folgen
seines Verhaltens hinweisen. Änderung(en), die die Kunden des
Providers ausschließlich begünstigen, können bereits am Tag ihrer
Mitteilung angewandt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der Kunde ein Verbraucher iSd KSchG gilt abweichend von
Punkt 15.2: Eine Änderung der vertraglich geschuldeten Leistung ist
dem Provider erlaubt, wenn dafür ein triftiger Grund vorliegt, zB
geänderte technische oder wirtschaftliche Rahmenbedingungen, und
wenn die Leistungsänderung nicht mit zusätzlichen Kosten für den
Kunden verbunden ist. Der Provider teilt alle Änderungen der
Bedingungen und der Leistung sowie den Zeitpunkt deren
Inkrafttretens klar und verständlich mit. Im Fall einer nicht nur
geringfügigen Beeinträchtigung ist der Kunde berechtigt, das
Vertragsverhältnis kostenfrei aufzulösen. Der Kunde muss sein
Vertragsauflösungsrecht innerhalb von 30 Tagen nach dem Zeitpunkt
der Änderung, wenn aber die Information über das Auflösungsrecht
erst nach der Änderung erteilt wird, innerhalb von 30 Tagen nach
Zugang der Information ausüben.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16. Anwendbares Recht,
Gerichtsstand, Streitschlichtung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Vertragsverhältnis unterliegt ausschließlich
österreichischem Recht unter Ausschluss der internationalen
Verweisungsnormen und des UN-Kaufrechts.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Vorbehaltlich der Bestimmungen des Konsumentenschutzrechts ist
Erfüllungsort und Gerichtsstand für alle Streitigkeiten aus dem
Vertragsverhältnis zwischen den Vertragsparteien der Sitz des
Provider. Für Klagen gegen Verbraucher im Sinne des KSchG, die
ihren Wohnsitz oder gewöhnlichen Aufenthalt im Inland haben oder im
Inland beschäftigt sind, gilt der Gerichtsstand, in dessen Sprengel
der Verbraucher seinen Wohnsitz, seinen gewöhnlichen Aufenthalt
oder den Ort der Beschäftigung hat.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Provider entscheidet im Einzelfall, ob er an einem
Schlichtungsverfahren vor einer Verbraucherschlichtungsstelle nach
dem Alternativen Streitbeilegungsgesetz (AStG) teilnimmt. Er ist
zur Teilnahme an einem solchen Verfahren nicht verpflichtet. Die
für den Provider eingerichteten Schlichtungsstellen sind: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Internet Ombudsstelle, </w:t>
            </w:r>
            <w:hyperlink r:id="rId52886a9fd73190c93" w:history="1">
              <w:r>
                <w:rPr>
                  <w:rFonts w:ascii="Arial" w:hAnsi="Arial" w:eastAsia="Arial" w:cs="Arial"/>
                  <w:color w:val="006BB6"/>
                  <w:position w:val="0"/>
                  <w:sz w:val="20"/>
                  <w:szCs w:val="20"/>
                  <w:shd w:val="clear" w:color="auto" w:fill="FFFFFF"/>
                </w:rPr>
                <w:t xml:space="preserve">http://www.ombudsstelle.at</w:t>
              </w:r>
            </w:hyperlink>
            <w:r>
              <w:rPr>
                <w:rFonts w:ascii="Arial" w:hAnsi="Arial" w:eastAsia="Arial" w:cs="Arial"/>
                <w:color w:val="000000"/>
                <w:position w:val="0"/>
                <w:sz w:val="20"/>
                <w:szCs w:val="20"/>
                <w:shd w:val="clear" w:color="auto" w:fill="FFFFFF"/>
              </w:rPr>
              <w:br/>
              <w:t xml:space="preserve">c/o Österreichisches Institut für angewandte Telekommunikation
(ÖIAT)</w:t>
            </w:r>
            <w:r>
              <w:rPr>
                <w:rFonts w:ascii="Arial" w:hAnsi="Arial" w:eastAsia="Arial" w:cs="Arial"/>
                <w:color w:val="000000"/>
                <w:position w:val="0"/>
                <w:sz w:val="20"/>
                <w:szCs w:val="20"/>
                <w:shd w:val="clear" w:color="auto" w:fill="FFFFFF"/>
              </w:rPr>
              <w:br/>
              <w:t xml:space="preserve">Ungargasse 64-66/3/404</w:t>
            </w:r>
            <w:r>
              <w:rPr>
                <w:rFonts w:ascii="Arial" w:hAnsi="Arial" w:eastAsia="Arial" w:cs="Arial"/>
                <w:color w:val="000000"/>
                <w:position w:val="0"/>
                <w:sz w:val="20"/>
                <w:szCs w:val="20"/>
                <w:shd w:val="clear" w:color="auto" w:fill="FFFFFF"/>
              </w:rPr>
              <w:br/>
              <w:t xml:space="preserve">1030 Wien</w:t>
            </w:r>
            <w:r>
              <w:rPr>
                <w:rFonts w:ascii="Arial" w:hAnsi="Arial" w:eastAsia="Arial" w:cs="Arial"/>
                <w:color w:val="000000"/>
                <w:position w:val="0"/>
                <w:sz w:val="20"/>
                <w:szCs w:val="20"/>
                <w:shd w:val="clear" w:color="auto" w:fill="FFFFFF"/>
              </w:rPr>
              <w:br/>
              <w:t xml:space="preserve">Tel: +43.1.595211275</w:t>
            </w:r>
            <w:r>
              <w:rPr>
                <w:rFonts w:ascii="Arial" w:hAnsi="Arial" w:eastAsia="Arial" w:cs="Arial"/>
                <w:color w:val="000000"/>
                <w:position w:val="0"/>
                <w:sz w:val="20"/>
                <w:szCs w:val="20"/>
                <w:shd w:val="clear" w:color="auto" w:fill="FFFFFF"/>
              </w:rPr>
              <w:br/>
              <w:t xml:space="preserve">E-Mail: </w:t>
            </w:r>
            <w:hyperlink r:id="rId65556a9fd73190caf" w:history="1">
              <w:r>
                <w:rPr>
                  <w:rFonts w:ascii="Arial" w:hAnsi="Arial" w:eastAsia="Arial" w:cs="Arial"/>
                  <w:color w:val="006BB6"/>
                  <w:position w:val="0"/>
                  <w:sz w:val="20"/>
                  <w:szCs w:val="20"/>
                  <w:shd w:val="clear" w:color="auto" w:fill="FFFFFF"/>
                </w:rPr>
                <w:t xml:space="preserve">kontakt@ombudsstelle.at</w:t>
              </w:r>
            </w:hyperlink>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Verein „Schlichtung für Verbrauchergeschäfte“</w:t>
            </w:r>
            <w:hyperlink r:id="rId14286a9fd73190cc2" w:history="1">
              <w:r>
                <w:rPr>
                  <w:rFonts w:ascii="Arial" w:hAnsi="Arial" w:eastAsia="Arial" w:cs="Arial"/>
                  <w:color w:val="006BB6"/>
                  <w:position w:val="0"/>
                  <w:sz w:val="20"/>
                  <w:szCs w:val="20"/>
                  <w:shd w:val="clear" w:color="auto" w:fill="FFFFFF"/>
                </w:rPr>
                <w:br/>
                <w:t xml:space="preserve">http://www.verbraucherschlichtung.at/</w:t>
              </w:r>
            </w:hyperlink>
            <w:r>
              <w:rPr>
                <w:rFonts w:ascii="Arial" w:hAnsi="Arial" w:eastAsia="Arial" w:cs="Arial"/>
                <w:color w:val="000000"/>
                <w:position w:val="0"/>
                <w:sz w:val="20"/>
                <w:szCs w:val="20"/>
                <w:shd w:val="clear" w:color="auto" w:fill="FFFFFF"/>
              </w:rPr>
              <w:br/>
              <w:t xml:space="preserve">Flachgasse 30/2. OG</w:t>
            </w:r>
            <w:r>
              <w:rPr>
                <w:rFonts w:ascii="Arial" w:hAnsi="Arial" w:eastAsia="Arial" w:cs="Arial"/>
                <w:color w:val="000000"/>
                <w:position w:val="0"/>
                <w:sz w:val="20"/>
                <w:szCs w:val="20"/>
                <w:shd w:val="clear" w:color="auto" w:fill="FFFFFF"/>
              </w:rPr>
              <w:br/>
              <w:t xml:space="preserve">1150 Wien</w:t>
            </w:r>
            <w:r>
              <w:rPr>
                <w:rFonts w:ascii="Arial" w:hAnsi="Arial" w:eastAsia="Arial" w:cs="Arial"/>
                <w:color w:val="000000"/>
                <w:position w:val="0"/>
                <w:sz w:val="20"/>
                <w:szCs w:val="20"/>
                <w:shd w:val="clear" w:color="auto" w:fill="FFFFFF"/>
              </w:rPr>
              <w:br/>
              <w:t xml:space="preserve">Tel: +43.1.8906311</w:t>
            </w:r>
            <w:r>
              <w:rPr>
                <w:rFonts w:ascii="Arial" w:hAnsi="Arial" w:eastAsia="Arial" w:cs="Arial"/>
                <w:color w:val="000000"/>
                <w:position w:val="0"/>
                <w:sz w:val="20"/>
                <w:szCs w:val="20"/>
                <w:shd w:val="clear" w:color="auto" w:fill="FFFFFF"/>
              </w:rPr>
              <w:br/>
              <w:t xml:space="preserve">E-Mail: </w:t>
            </w:r>
            <w:hyperlink r:id="rId84586a9fd73190cdf" w:history="1">
              <w:r>
                <w:rPr>
                  <w:rFonts w:ascii="Arial" w:hAnsi="Arial" w:eastAsia="Arial" w:cs="Arial"/>
                  <w:color w:val="006BB6"/>
                  <w:position w:val="0"/>
                  <w:sz w:val="20"/>
                  <w:szCs w:val="20"/>
                  <w:shd w:val="clear" w:color="auto" w:fill="FFFFFF"/>
                </w:rPr>
                <w:t xml:space="preserve">office@verbraucherschlichtung.at</w:t>
              </w:r>
            </w:hyperlink>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Sollten einzelne Bestimmungen des Vertrags rechtlich unwirksam
oder undurchführbar sein oder werden, so berührt das die
Wirksamkeit und Durchführbarkeit der übrigen Bestimmungen nicht.
Die Parteien verpflichten sich, die unwirksame Bestimmung durch
eine wirksame zu ersetzen, die dem wirtschaftlichen Zweck der
unwirksamen Bestimmung am ehesten entspricht. Gleiches gilt im
Falle einer Vertragslücke.</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9041291" w:name="note1"/>
            <w:bookmarkEnd w:id="19041291"/>
            <w:bookmarkStart w:id="8320343246017" w:name="note1"/>
            <w:r>
              <w:rPr>
                <w:rFonts w:ascii="Arial" w:hAnsi="Arial" w:eastAsia="Arial" w:cs="Arial"/>
                <w:b/>
                <w:bCs/>
                <w:color w:val="000000"/>
                <w:position w:val="0"/>
                <w:sz w:val="20"/>
                <w:szCs w:val="20"/>
              </w:rPr>
              <w:t xml:space="preserve">[1]</w:t>
            </w:r>
            <w:bookmarkEnd w:id="832034324601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Auftragsverarbeitungsvertrag ist für geschäftlich genutzte
E-Mail-Postfächer notwendig, weil der Provider nicht nur
Nachrichten übermittelt, sondern auch Postfächer für den Kunden
bereithält. In diesen Postfächern speichert er im Auftrag des
Kunden Nachrichten und Entwürfe, die personenbezogene Daten
enthalten können. Private Postfachinhaber müssen in keinem Fall
einen Auftragsverarbeitungsvertrag abschließen, weil ihre
Datenverarbeitung von der DSGVO ausgenommen ist.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6604454" w:name="note2"/>
            <w:bookmarkEnd w:id="56604454"/>
            <w:bookmarkStart w:id="6359174799606" w:name="note2"/>
            <w:r>
              <w:rPr>
                <w:rFonts w:ascii="Arial" w:hAnsi="Arial" w:eastAsia="Arial" w:cs="Arial"/>
                <w:b/>
                <w:bCs/>
                <w:color w:val="000000"/>
                <w:position w:val="0"/>
                <w:sz w:val="20"/>
                <w:szCs w:val="20"/>
              </w:rPr>
              <w:t xml:space="preserve">[2]</w:t>
            </w:r>
            <w:bookmarkEnd w:id="635917479960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12.4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23 VGG verlangt, dass die Erklärung des
Verbrauchers, den Vertrag aufzulösen, an keine bestimmte Form
gebunden ist.</w:t>
            </w:r>
          </w:p>
          <w:p>
            <w:pPr>
              <w:widowControl w:val="on"/>
              <w:pBdr/>
              <w:spacing w:before="0" w:after="0" w:line="288" w:lineRule="auto"/>
              <w:ind w:left="0" w:right="0"/>
              <w:jc w:val="left"/>
              <w:textAlignment w:val="top"/>
            </w:pPr>
            <w:hyperlink w:anchor="link2"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9445301" w:name="note3"/>
            <w:bookmarkEnd w:id="99445301"/>
            <w:bookmarkStart w:id="98353791224" w:name="note3"/>
            <w:r>
              <w:rPr>
                <w:rFonts w:ascii="Arial" w:hAnsi="Arial" w:eastAsia="Arial" w:cs="Arial"/>
                <w:b/>
                <w:bCs/>
                <w:color w:val="000000"/>
                <w:position w:val="0"/>
                <w:sz w:val="20"/>
                <w:szCs w:val="20"/>
              </w:rPr>
              <w:t xml:space="preserve">[3]</w:t>
            </w:r>
            <w:bookmarkEnd w:id="9835379122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12.6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Verpflichtend nach § 24 Abs 6 VGG</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7573213" w:name="note4"/>
            <w:bookmarkEnd w:id="27573213"/>
            <w:bookmarkStart w:id="5070220990028" w:name="note4"/>
            <w:r>
              <w:rPr>
                <w:rFonts w:ascii="Arial" w:hAnsi="Arial" w:eastAsia="Arial" w:cs="Arial"/>
                <w:b/>
                <w:bCs/>
                <w:color w:val="000000"/>
                <w:position w:val="0"/>
                <w:sz w:val="20"/>
                <w:szCs w:val="20"/>
              </w:rPr>
              <w:t xml:space="preserve">[4]</w:t>
            </w:r>
            <w:bookmarkEnd w:id="507022099002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Dieser Punkt enthält wesentliche von Art 28 DSGVO
geforderte Teile eines Auftragsverarbeitungsvertrags und ist
entsprechend Art 28 DSGVO zu ergänzen. Ein
Auftragsverarbeitungsvertrag kann auch separat abgeschlossen
werden, dies muss nach Art 28 Abs 9 DSGVO schriftlich
oder elektronisch erfolgen. Ein Auftragsverarbeitungsvertrag ist
für geschäftlich genutzte E-Mail-Postfächer notwendig, weil der
Provider nicht nur Nachrichten übermittelt, sondern auch Postfächer
für den Kunden bereithält. In diesen Postfächern speichert er im
Auftrag des Kunden Nachrichten und Entwürfe, die personenbezogene
Daten enthalten können. Private Postfachinhaber müssen in keinem
Fall einen Auftragsverarbeitungsvertrag abschließen, weil ihre
Datenverarbeitung von der DSGVO ausgenommen ist.</w:t>
            </w:r>
          </w:p>
          <w:p>
            <w:pPr>
              <w:widowControl w:val="on"/>
              <w:pBdr/>
              <w:spacing w:before="0" w:after="0" w:line="288" w:lineRule="auto"/>
              <w:ind w:left="0" w:right="0"/>
              <w:jc w:val="left"/>
              <w:textAlignment w:val="top"/>
            </w:pPr>
            <w:hyperlink w:anchor="link4"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5332030" w:name="note5"/>
            <w:bookmarkEnd w:id="95332030"/>
            <w:bookmarkStart w:id="4005308538252" w:name="note5"/>
            <w:r>
              <w:rPr>
                <w:rFonts w:ascii="Arial" w:hAnsi="Arial" w:eastAsia="Arial" w:cs="Arial"/>
                <w:b/>
                <w:bCs/>
                <w:color w:val="000000"/>
                <w:position w:val="0"/>
                <w:sz w:val="20"/>
                <w:szCs w:val="20"/>
              </w:rPr>
              <w:t xml:space="preserve">[5]</w:t>
            </w:r>
            <w:bookmarkEnd w:id="400530853825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ZB Kontaktdaten, Verrechnungsdaten, Rechnungsdaten, Inhalte der
Postfächer – diese sind abhängig von der jeweiligen
Vertragsleistung, daher ist es ggf sinnvoller, diese
Datenkategorien im Einzelvertrag zu regeln.</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020393" w:name="note6"/>
            <w:bookmarkEnd w:id="32020393"/>
            <w:bookmarkStart w:id="3790686939374" w:name="note6"/>
            <w:r>
              <w:rPr>
                <w:rFonts w:ascii="Arial" w:hAnsi="Arial" w:eastAsia="Arial" w:cs="Arial"/>
                <w:b/>
                <w:bCs/>
                <w:color w:val="000000"/>
                <w:position w:val="0"/>
                <w:sz w:val="20"/>
                <w:szCs w:val="20"/>
              </w:rPr>
              <w:t xml:space="preserve">[6]</w:t>
            </w:r>
            <w:bookmarkEnd w:id="379068693937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ZB Kunden, Lieferanten, Ansprechpartner, Dienstnehmer, … – diese
sind abhängig von der jeweiligen Vertragsleistung, daher ist es ggf
sinnvoller, diese Kategorien im Einzelvertrag zu regeln.</w:t>
            </w:r>
          </w:p>
          <w:p>
            <w:pPr>
              <w:widowControl w:val="on"/>
              <w:pBdr/>
              <w:spacing w:before="0" w:after="0" w:line="288" w:lineRule="auto"/>
              <w:ind w:left="0" w:right="0"/>
              <w:jc w:val="left"/>
              <w:textAlignment w:val="top"/>
            </w:pPr>
            <w:hyperlink w:anchor="link6"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0974215" w:name="note7"/>
            <w:bookmarkEnd w:id="30974215"/>
            <w:bookmarkStart w:id="3439880014845" w:name="note7"/>
            <w:r>
              <w:rPr>
                <w:rFonts w:ascii="Arial" w:hAnsi="Arial" w:eastAsia="Arial" w:cs="Arial"/>
                <w:b/>
                <w:bCs/>
                <w:color w:val="000000"/>
                <w:position w:val="0"/>
                <w:sz w:val="20"/>
                <w:szCs w:val="20"/>
              </w:rPr>
              <w:t xml:space="preserve">[7]</w:t>
            </w:r>
            <w:bookmarkEnd w:id="343988001484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Zu Punkt 14.7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Betracht kommen zB Zugangskontrollen,
Authentifizierungssysteme, Pseudonymisierung von Daten,
Verschlüsselung, Einsatz eines VPN, Protokollierung in Logfiles,
geeignete Backup-Strategie etc.</w:t>
            </w:r>
          </w:p>
          <w:p>
            <w:pPr>
              <w:widowControl w:val="on"/>
              <w:pBdr/>
              <w:spacing w:before="0" w:after="0" w:line="288" w:lineRule="auto"/>
              <w:ind w:left="0" w:right="0"/>
              <w:jc w:val="left"/>
              <w:textAlignment w:val="top"/>
            </w:pPr>
            <w:hyperlink w:anchor="link7"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359634" w:name="note8"/>
            <w:bookmarkEnd w:id="29359634"/>
            <w:bookmarkStart w:id="8583663179729" w:name="note8"/>
            <w:r>
              <w:rPr>
                <w:rFonts w:ascii="Arial" w:hAnsi="Arial" w:eastAsia="Arial" w:cs="Arial"/>
                <w:b/>
                <w:bCs/>
                <w:color w:val="000000"/>
                <w:position w:val="0"/>
                <w:sz w:val="20"/>
                <w:szCs w:val="20"/>
              </w:rPr>
              <w:t xml:space="preserve">[8]</w:t>
            </w:r>
            <w:bookmarkEnd w:id="8583663179729"/>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Punkt 15.3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Siehe § 27 VGG; der Unternehmer kann das
Vertragsauflösungsrecht ausschließen, indem er dem Verbraucher die
unveränderte Beibehaltung der digitalen Leistung ohne zusätzliche
Kosten ermöglicht und die digitale Leistung weiterhin dem Vertrag
entspricht.</w:t>
            </w:r>
          </w:p>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Achtung:</w:t>
            </w:r>
            <w:r>
              <w:rPr>
                <w:rFonts w:ascii="Arial" w:hAnsi="Arial" w:eastAsia="Arial" w:cs="Arial"/>
                <w:color w:val="000000"/>
                <w:position w:val="0"/>
                <w:sz w:val="20"/>
                <w:szCs w:val="20"/>
              </w:rPr>
              <w:br/>
              <w:t xml:space="preserve">Wenn der Vertrag neben E-Mail-Accounts auch noch Access-Leistungen
(den Internetzugang) umfasst, dann gelten statt § 27 VGG die
Regeln des § 135 Abs 8 TKG 2021 für Änderungen der
Vertragsbedingungen – siehe dazu oben bei Punkt 2.2 der AGB für
Access-Provider.</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487945">
    <w:multiLevelType w:val="hybridMultilevel"/>
    <w:lvl w:ilvl="0" w:tplc="91887059">
      <w:start w:val="1"/>
      <w:numFmt w:val="decimal"/>
      <w:lvlText w:val="%1."/>
      <w:lvlJc w:val="left"/>
      <w:pPr>
        <w:ind w:left="720" w:hanging="360"/>
      </w:pPr>
    </w:lvl>
    <w:lvl w:ilvl="1" w:tplc="91887059" w:tentative="1">
      <w:start w:val="1"/>
      <w:numFmt w:val="lowerLetter"/>
      <w:lvlText w:val="%2."/>
      <w:lvlJc w:val="left"/>
      <w:pPr>
        <w:ind w:left="1440" w:hanging="360"/>
      </w:pPr>
    </w:lvl>
    <w:lvl w:ilvl="2" w:tplc="91887059" w:tentative="1">
      <w:start w:val="1"/>
      <w:numFmt w:val="lowerRoman"/>
      <w:lvlText w:val="%3."/>
      <w:lvlJc w:val="right"/>
      <w:pPr>
        <w:ind w:left="2160" w:hanging="180"/>
      </w:pPr>
    </w:lvl>
    <w:lvl w:ilvl="3" w:tplc="91887059" w:tentative="1">
      <w:start w:val="1"/>
      <w:numFmt w:val="decimal"/>
      <w:lvlText w:val="%4."/>
      <w:lvlJc w:val="left"/>
      <w:pPr>
        <w:ind w:left="2880" w:hanging="360"/>
      </w:pPr>
    </w:lvl>
    <w:lvl w:ilvl="4" w:tplc="91887059" w:tentative="1">
      <w:start w:val="1"/>
      <w:numFmt w:val="lowerLetter"/>
      <w:lvlText w:val="%5."/>
      <w:lvlJc w:val="left"/>
      <w:pPr>
        <w:ind w:left="3600" w:hanging="360"/>
      </w:pPr>
    </w:lvl>
    <w:lvl w:ilvl="5" w:tplc="91887059" w:tentative="1">
      <w:start w:val="1"/>
      <w:numFmt w:val="lowerRoman"/>
      <w:lvlText w:val="%6."/>
      <w:lvlJc w:val="right"/>
      <w:pPr>
        <w:ind w:left="4320" w:hanging="180"/>
      </w:pPr>
    </w:lvl>
    <w:lvl w:ilvl="6" w:tplc="91887059" w:tentative="1">
      <w:start w:val="1"/>
      <w:numFmt w:val="decimal"/>
      <w:lvlText w:val="%7."/>
      <w:lvlJc w:val="left"/>
      <w:pPr>
        <w:ind w:left="5040" w:hanging="360"/>
      </w:pPr>
    </w:lvl>
    <w:lvl w:ilvl="7" w:tplc="91887059" w:tentative="1">
      <w:start w:val="1"/>
      <w:numFmt w:val="lowerLetter"/>
      <w:lvlText w:val="%8."/>
      <w:lvlJc w:val="left"/>
      <w:pPr>
        <w:ind w:left="5760" w:hanging="360"/>
      </w:pPr>
    </w:lvl>
    <w:lvl w:ilvl="8" w:tplc="91887059" w:tentative="1">
      <w:start w:val="1"/>
      <w:numFmt w:val="lowerRoman"/>
      <w:lvlText w:val="%9."/>
      <w:lvlJc w:val="right"/>
      <w:pPr>
        <w:ind w:left="6480" w:hanging="180"/>
      </w:pPr>
    </w:lvl>
  </w:abstractNum>
  <w:abstractNum w:abstractNumId="75487944">
    <w:multiLevelType w:val="hybridMultilevel"/>
    <w:lvl w:ilvl="0" w:tplc="849339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487944">
    <w:abstractNumId w:val="75487944"/>
  </w:num>
  <w:num w:numId="75487945">
    <w:abstractNumId w:val="754879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44069886" Type="http://schemas.openxmlformats.org/officeDocument/2006/relationships/numbering" Target="numbering.xml"/><Relationship Id="rId469210016" Type="http://schemas.openxmlformats.org/officeDocument/2006/relationships/comments" Target="comments.xml"/><Relationship Id="rId86406a9fd7318f6e7" Type="http://schemas.openxmlformats.org/officeDocument/2006/relationships/hyperlink" Target="http://www.oerak.at" TargetMode="External"/><Relationship Id="rId52886a9fd73190c93" Type="http://schemas.openxmlformats.org/officeDocument/2006/relationships/hyperlink" Target="http://www.ombudsstelle.at" TargetMode="External"/><Relationship Id="rId65556a9fd73190caf" Type="http://schemas.openxmlformats.org/officeDocument/2006/relationships/hyperlink" Target="mailto:kontakt@ombudsstelle.at" TargetMode="External"/><Relationship Id="rId14286a9fd73190cc2" Type="http://schemas.openxmlformats.org/officeDocument/2006/relationships/hyperlink" Target="http://www.verbraucherschlichtung.at/" TargetMode="External"/><Relationship Id="rId84586a9fd73190cdf" Type="http://schemas.openxmlformats.org/officeDocument/2006/relationships/hyperlink" Target="mailto:office@verbraucherschlichtung.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