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4192545" w:name="document"/>
    <w:bookmarkEnd w:id="94192545"/>
    <w:p/>
    <w:p>
      <w:pPr>
        <w:widowControl w:val="on"/>
        <w:pBdr/>
        <w:spacing w:before="0" w:after="280" w:line="240" w:lineRule="auto"/>
        <w:ind w:left="0" w:right="0"/>
        <w:jc w:val="left"/>
      </w:pPr>
      <w:r>
        <w:rPr>
          <w:rFonts w:ascii="Arial" w:hAnsi="Arial" w:eastAsia="Arial" w:cs="Arial"/>
          <w:color w:val="363A40"/>
          <w:sz w:val="24"/>
          <w:szCs w:val="24"/>
        </w:rPr>
        <w:t xml:space="preserve">Dokument-ID: 935470 | Yvonne Ghali | Muster |
Übersicht</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Verarbeitungsverzeichnis des Verantwortlichen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gridCol w:w="1"/>
      </w:tblGrid>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1. Verantwortlicher</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1.1 Name und Kontaktdaten des
Verantwortlichen</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Name:</w:t>
            </w:r>
            <w:r>
              <w:rPr>
                <w:rFonts w:ascii="Arial" w:hAnsi="Arial" w:eastAsia="Arial" w:cs="Arial"/>
                <w:color w:val="000000"/>
                <w:position w:val="0"/>
                <w:sz w:val="20"/>
                <w:szCs w:val="20"/>
                <w:shd w:val="clear" w:color="auto" w:fill="FFFFFF"/>
              </w:rPr>
              <w:br/>
              <w:t xml:space="preserve">Rechtsform:</w:t>
            </w:r>
            <w:r>
              <w:rPr>
                <w:rFonts w:ascii="Arial" w:hAnsi="Arial" w:eastAsia="Arial" w:cs="Arial"/>
                <w:color w:val="000000"/>
                <w:position w:val="0"/>
                <w:sz w:val="20"/>
                <w:szCs w:val="20"/>
                <w:shd w:val="clear" w:color="auto" w:fill="FFFFFF"/>
              </w:rPr>
              <w:br/>
              <w:t xml:space="preserve">Firmenbuchnummer/Vereinsregisterzahl etc:</w:t>
            </w:r>
            <w:r>
              <w:rPr>
                <w:rFonts w:ascii="Arial" w:hAnsi="Arial" w:eastAsia="Arial" w:cs="Arial"/>
                <w:color w:val="000000"/>
                <w:position w:val="0"/>
                <w:sz w:val="20"/>
                <w:szCs w:val="20"/>
                <w:shd w:val="clear" w:color="auto" w:fill="FFFFFF"/>
              </w:rPr>
              <w:br/>
              <w:t xml:space="preserve">Adresse:</w:t>
            </w:r>
            <w:r>
              <w:rPr>
                <w:rFonts w:ascii="Arial" w:hAnsi="Arial" w:eastAsia="Arial" w:cs="Arial"/>
                <w:color w:val="000000"/>
                <w:position w:val="0"/>
                <w:sz w:val="20"/>
                <w:szCs w:val="20"/>
                <w:shd w:val="clear" w:color="auto" w:fill="FFFFFF"/>
              </w:rPr>
              <w:br/>
              <w:t xml:space="preserve">Telefon:</w:t>
            </w:r>
            <w:r>
              <w:rPr>
                <w:rFonts w:ascii="Arial" w:hAnsi="Arial" w:eastAsia="Arial" w:cs="Arial"/>
                <w:color w:val="000000"/>
                <w:position w:val="0"/>
                <w:sz w:val="20"/>
                <w:szCs w:val="20"/>
                <w:shd w:val="clear" w:color="auto" w:fill="FFFFFF"/>
              </w:rPr>
              <w:br/>
              <w:t xml:space="preserve">E-Mail-Adresse:</w:t>
            </w:r>
            <w:r>
              <w:rPr>
                <w:rFonts w:ascii="Arial" w:hAnsi="Arial" w:eastAsia="Arial" w:cs="Arial"/>
                <w:color w:val="000000"/>
                <w:position w:val="0"/>
                <w:sz w:val="20"/>
                <w:szCs w:val="20"/>
                <w:shd w:val="clear" w:color="auto" w:fill="FFFFFF"/>
              </w:rPr>
              <w:br/>
              <w:t xml:space="preserve">Internet-Adresse: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1.1.1 Geschäftsführung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Name:</w:t>
            </w:r>
            <w:r>
              <w:rPr>
                <w:rFonts w:ascii="Arial" w:hAnsi="Arial" w:eastAsia="Arial" w:cs="Arial"/>
                <w:color w:val="000000"/>
                <w:position w:val="0"/>
                <w:sz w:val="20"/>
                <w:szCs w:val="20"/>
                <w:shd w:val="clear" w:color="auto" w:fill="FFFFFF"/>
              </w:rPr>
              <w:br/>
              <w:t xml:space="preserve">Adresse:</w:t>
            </w:r>
            <w:r>
              <w:rPr>
                <w:rFonts w:ascii="Arial" w:hAnsi="Arial" w:eastAsia="Arial" w:cs="Arial"/>
                <w:color w:val="000000"/>
                <w:position w:val="0"/>
                <w:sz w:val="20"/>
                <w:szCs w:val="20"/>
                <w:shd w:val="clear" w:color="auto" w:fill="FFFFFF"/>
              </w:rPr>
              <w:br/>
              <w:t xml:space="preserve">Telefon:</w:t>
            </w:r>
            <w:r>
              <w:rPr>
                <w:rFonts w:ascii="Arial" w:hAnsi="Arial" w:eastAsia="Arial" w:cs="Arial"/>
                <w:color w:val="000000"/>
                <w:position w:val="0"/>
                <w:sz w:val="20"/>
                <w:szCs w:val="20"/>
                <w:shd w:val="clear" w:color="auto" w:fill="FFFFFF"/>
              </w:rPr>
              <w:br/>
              <w:t xml:space="preserve">E-Mail-Adresse:</w:t>
            </w:r>
            <w:r>
              <w:rPr>
                <w:rFonts w:ascii="Arial" w:hAnsi="Arial" w:eastAsia="Arial" w:cs="Arial"/>
                <w:color w:val="000000"/>
                <w:position w:val="0"/>
                <w:sz w:val="20"/>
                <w:szCs w:val="20"/>
                <w:shd w:val="clear" w:color="auto" w:fill="FFFFFF"/>
              </w:rPr>
              <w:br/>
              <w:t xml:space="preserve">Internet-Adresse: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1.1.2 Stellvertretende Geschäftsführung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Name:</w:t>
            </w:r>
            <w:r>
              <w:rPr>
                <w:rFonts w:ascii="Arial" w:hAnsi="Arial" w:eastAsia="Arial" w:cs="Arial"/>
                <w:color w:val="000000"/>
                <w:position w:val="0"/>
                <w:sz w:val="20"/>
                <w:szCs w:val="20"/>
                <w:shd w:val="clear" w:color="auto" w:fill="FFFFFF"/>
              </w:rPr>
              <w:br/>
              <w:t xml:space="preserve">Adresse:</w:t>
            </w:r>
            <w:r>
              <w:rPr>
                <w:rFonts w:ascii="Arial" w:hAnsi="Arial" w:eastAsia="Arial" w:cs="Arial"/>
                <w:color w:val="000000"/>
                <w:position w:val="0"/>
                <w:sz w:val="20"/>
                <w:szCs w:val="20"/>
                <w:shd w:val="clear" w:color="auto" w:fill="FFFFFF"/>
              </w:rPr>
              <w:br/>
              <w:t xml:space="preserve">Telefon:</w:t>
            </w:r>
            <w:r>
              <w:rPr>
                <w:rFonts w:ascii="Arial" w:hAnsi="Arial" w:eastAsia="Arial" w:cs="Arial"/>
                <w:color w:val="000000"/>
                <w:position w:val="0"/>
                <w:sz w:val="20"/>
                <w:szCs w:val="20"/>
                <w:shd w:val="clear" w:color="auto" w:fill="FFFFFF"/>
              </w:rPr>
              <w:br/>
              <w:t xml:space="preserve">E-Mail-Adresse:</w:t>
            </w:r>
            <w:r>
              <w:rPr>
                <w:rFonts w:ascii="Arial" w:hAnsi="Arial" w:eastAsia="Arial" w:cs="Arial"/>
                <w:color w:val="000000"/>
                <w:position w:val="0"/>
                <w:sz w:val="20"/>
                <w:szCs w:val="20"/>
                <w:shd w:val="clear" w:color="auto" w:fill="FFFFFF"/>
              </w:rPr>
              <w:br/>
              <w:t xml:space="preserve">Internet-Adresse: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1.1.3 Leitung der Datenverarbeitung bzw zuständige
Person für das Führen des Verarbeitungsverzeichnisses</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Name:</w:t>
            </w:r>
            <w:r>
              <w:rPr>
                <w:rFonts w:ascii="Arial" w:hAnsi="Arial" w:eastAsia="Arial" w:cs="Arial"/>
                <w:color w:val="000000"/>
                <w:position w:val="0"/>
                <w:sz w:val="20"/>
                <w:szCs w:val="20"/>
                <w:shd w:val="clear" w:color="auto" w:fill="FFFFFF"/>
              </w:rPr>
              <w:br/>
              <w:t xml:space="preserve">Adresse:</w:t>
            </w:r>
            <w:r>
              <w:rPr>
                <w:rFonts w:ascii="Arial" w:hAnsi="Arial" w:eastAsia="Arial" w:cs="Arial"/>
                <w:color w:val="000000"/>
                <w:position w:val="0"/>
                <w:sz w:val="20"/>
                <w:szCs w:val="20"/>
                <w:shd w:val="clear" w:color="auto" w:fill="FFFFFF"/>
              </w:rPr>
              <w:br/>
              <w:t xml:space="preserve">Telefon:</w:t>
            </w:r>
            <w:r>
              <w:rPr>
                <w:rFonts w:ascii="Arial" w:hAnsi="Arial" w:eastAsia="Arial" w:cs="Arial"/>
                <w:color w:val="000000"/>
                <w:position w:val="0"/>
                <w:sz w:val="20"/>
                <w:szCs w:val="20"/>
                <w:shd w:val="clear" w:color="auto" w:fill="FFFFFF"/>
              </w:rPr>
              <w:br/>
              <w:t xml:space="preserve">E-Mail-Adresse:</w:t>
            </w:r>
            <w:r>
              <w:rPr>
                <w:rFonts w:ascii="Arial" w:hAnsi="Arial" w:eastAsia="Arial" w:cs="Arial"/>
                <w:color w:val="000000"/>
                <w:position w:val="0"/>
                <w:sz w:val="20"/>
                <w:szCs w:val="20"/>
                <w:shd w:val="clear" w:color="auto" w:fill="FFFFFF"/>
              </w:rPr>
              <w:br/>
              <w:t xml:space="preserve">Internet-Adresse:</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1.1.4 Sonstige Ansprechpartner</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Name:</w:t>
            </w:r>
            <w:r>
              <w:rPr>
                <w:rFonts w:ascii="Arial" w:hAnsi="Arial" w:eastAsia="Arial" w:cs="Arial"/>
                <w:color w:val="000000"/>
                <w:position w:val="0"/>
                <w:sz w:val="20"/>
                <w:szCs w:val="20"/>
                <w:shd w:val="clear" w:color="auto" w:fill="FFFFFF"/>
              </w:rPr>
              <w:br/>
              <w:t xml:space="preserve">Adresse:</w:t>
            </w:r>
            <w:r>
              <w:rPr>
                <w:rFonts w:ascii="Arial" w:hAnsi="Arial" w:eastAsia="Arial" w:cs="Arial"/>
                <w:color w:val="000000"/>
                <w:position w:val="0"/>
                <w:sz w:val="20"/>
                <w:szCs w:val="20"/>
                <w:shd w:val="clear" w:color="auto" w:fill="FFFFFF"/>
              </w:rPr>
              <w:br/>
              <w:t xml:space="preserve">Telefon:</w:t>
            </w:r>
            <w:r>
              <w:rPr>
                <w:rFonts w:ascii="Arial" w:hAnsi="Arial" w:eastAsia="Arial" w:cs="Arial"/>
                <w:color w:val="000000"/>
                <w:position w:val="0"/>
                <w:sz w:val="20"/>
                <w:szCs w:val="20"/>
                <w:shd w:val="clear" w:color="auto" w:fill="FFFFFF"/>
              </w:rPr>
              <w:br/>
              <w:t xml:space="preserve">E-Mail-Adresse:</w:t>
            </w:r>
            <w:r>
              <w:rPr>
                <w:rFonts w:ascii="Arial" w:hAnsi="Arial" w:eastAsia="Arial" w:cs="Arial"/>
                <w:color w:val="000000"/>
                <w:position w:val="0"/>
                <w:sz w:val="20"/>
                <w:szCs w:val="20"/>
                <w:shd w:val="clear" w:color="auto" w:fill="FFFFFF"/>
              </w:rPr>
              <w:br/>
              <w:t xml:space="preserve">Internet-Adresse:</w:t>
            </w:r>
            <w:r>
              <w:rPr>
                <w:rFonts w:ascii="Arial" w:hAnsi="Arial" w:eastAsia="Arial" w:cs="Arial"/>
                <w:color w:val="000000"/>
                <w:position w:val="0"/>
                <w:sz w:val="20"/>
                <w:szCs w:val="20"/>
                <w:shd w:val="clear" w:color="auto" w:fill="FFFFFF"/>
              </w:rPr>
              <w:br/>
              <w:t xml:space="preserve">Zuständigkeitsbereich:</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1.2 Name und Kontaktdaten des
Datenschutzbeauftragten</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Name:</w:t>
            </w:r>
            <w:r>
              <w:rPr>
                <w:rFonts w:ascii="Arial" w:hAnsi="Arial" w:eastAsia="Arial" w:cs="Arial"/>
                <w:color w:val="000000"/>
                <w:position w:val="0"/>
                <w:sz w:val="20"/>
                <w:szCs w:val="20"/>
                <w:shd w:val="clear" w:color="auto" w:fill="FFFFFF"/>
              </w:rPr>
              <w:br/>
              <w:t xml:space="preserve">Adresse:</w:t>
            </w:r>
            <w:r>
              <w:rPr>
                <w:rFonts w:ascii="Arial" w:hAnsi="Arial" w:eastAsia="Arial" w:cs="Arial"/>
                <w:color w:val="000000"/>
                <w:position w:val="0"/>
                <w:sz w:val="20"/>
                <w:szCs w:val="20"/>
                <w:shd w:val="clear" w:color="auto" w:fill="FFFFFF"/>
              </w:rPr>
              <w:br/>
              <w:t xml:space="preserve">Telefon:</w:t>
            </w:r>
            <w:r>
              <w:rPr>
                <w:rFonts w:ascii="Arial" w:hAnsi="Arial" w:eastAsia="Arial" w:cs="Arial"/>
                <w:color w:val="000000"/>
                <w:position w:val="0"/>
                <w:sz w:val="20"/>
                <w:szCs w:val="20"/>
                <w:shd w:val="clear" w:color="auto" w:fill="FFFFFF"/>
              </w:rPr>
              <w:br/>
              <w:t xml:space="preserve">E-Mail-Adresse:</w:t>
            </w:r>
            <w:r>
              <w:rPr>
                <w:rFonts w:ascii="Arial" w:hAnsi="Arial" w:eastAsia="Arial" w:cs="Arial"/>
                <w:color w:val="000000"/>
                <w:position w:val="0"/>
                <w:sz w:val="20"/>
                <w:szCs w:val="20"/>
                <w:shd w:val="clear" w:color="auto" w:fill="FFFFFF"/>
              </w:rPr>
              <w:br/>
              <w:t xml:space="preserve">Internet-Adresse:</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2. Zeitpunkt und Aktualisierung des
Verarbeitungsverzeichnisses</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Datum der Ersterstellung des Verarbeitungsverzeichnisses:</w:t>
            </w:r>
            <w:r>
              <w:rPr>
                <w:rFonts w:ascii="Arial" w:hAnsi="Arial" w:eastAsia="Arial" w:cs="Arial"/>
                <w:color w:val="000000"/>
                <w:position w:val="0"/>
                <w:sz w:val="20"/>
                <w:szCs w:val="20"/>
                <w:shd w:val="clear" w:color="auto" w:fill="FFFFFF"/>
              </w:rPr>
              <w:br/>
              <w:t xml:space="preserve">Intervall der regelmäßigen Überprüfung und Aktualisierung:</w:t>
            </w:r>
            <w:r>
              <w:rPr>
                <w:rFonts w:ascii="Arial" w:hAnsi="Arial" w:eastAsia="Arial" w:cs="Arial"/>
                <w:color w:val="000000"/>
                <w:position w:val="0"/>
                <w:sz w:val="20"/>
                <w:szCs w:val="20"/>
                <w:shd w:val="clear" w:color="auto" w:fill="FFFFFF"/>
              </w:rPr>
              <w:br/>
              <w:t xml:space="preserve">Aktualisierung: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Datum der Überprüfung und Aktualisierung</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Version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 Datenverarbeitung(en)</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3.1 Bezeichnung der Datenverarbeitung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3.2 Ansprechpartner und
Verfahrensverantwortlicher</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Name:</w:t>
            </w:r>
            <w:r>
              <w:rPr>
                <w:rFonts w:ascii="Arial" w:hAnsi="Arial" w:eastAsia="Arial" w:cs="Arial"/>
                <w:color w:val="000000"/>
                <w:position w:val="0"/>
                <w:sz w:val="20"/>
                <w:szCs w:val="20"/>
                <w:shd w:val="clear" w:color="auto" w:fill="FFFFFF"/>
              </w:rPr>
              <w:br/>
              <w:t xml:space="preserve">Adresse:</w:t>
            </w:r>
            <w:r>
              <w:rPr>
                <w:rFonts w:ascii="Arial" w:hAnsi="Arial" w:eastAsia="Arial" w:cs="Arial"/>
                <w:color w:val="000000"/>
                <w:position w:val="0"/>
                <w:sz w:val="20"/>
                <w:szCs w:val="20"/>
                <w:shd w:val="clear" w:color="auto" w:fill="FFFFFF"/>
              </w:rPr>
              <w:br/>
              <w:t xml:space="preserve">Telefon:</w:t>
            </w:r>
            <w:r>
              <w:rPr>
                <w:rFonts w:ascii="Arial" w:hAnsi="Arial" w:eastAsia="Arial" w:cs="Arial"/>
                <w:color w:val="000000"/>
                <w:position w:val="0"/>
                <w:sz w:val="20"/>
                <w:szCs w:val="20"/>
                <w:shd w:val="clear" w:color="auto" w:fill="FFFFFF"/>
              </w:rPr>
              <w:br/>
              <w:t xml:space="preserve">E-Mail-Adresse:</w:t>
            </w:r>
            <w:r>
              <w:rPr>
                <w:rFonts w:ascii="Arial" w:hAnsi="Arial" w:eastAsia="Arial" w:cs="Arial"/>
                <w:color w:val="000000"/>
                <w:position w:val="0"/>
                <w:sz w:val="20"/>
                <w:szCs w:val="20"/>
                <w:shd w:val="clear" w:color="auto" w:fill="FFFFFF"/>
              </w:rPr>
              <w:br/>
              <w:t xml:space="preserve">Internet-Adresse:</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3.3 Zweck(e) der Datenverarbeitung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[Beispielsweise: Verarbeitung und Übermittlung von Daten im
Rahmen einer Geschäftsbeziehung mit Kunden, einschließlich
automationsunterstützt erstellter und archivierter Textdokumente
(wie zB Korrespondenz) in diesen Angelegenheiten]</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3.4 Rechtsgrundlage(n) der
Datenverarbeitung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b/>
                <w:bCs/>
                <w:color w:val="000000"/>
                <w:position w:val="0"/>
                <w:sz w:val="20"/>
                <w:szCs w:val="20"/>
                <w:shd w:val="clear" w:color="auto" w:fill="FFFFFF"/>
              </w:rPr>
              <w:t xml:space="preserve">Rechtsgrundlage gem Art 6 DSGVO</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Einwilligung (Art 6 Abs 1 lit a DSGVO)</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Vertragsabschluss und Vertragserfüllung (Art 6 Abs 1
lit b DSGVO)</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Erfüllung einer rechtlichen Verpflichtung (Art 6
Abs 1 lit c DSGVO)</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Erforderliche Datenverarbeitung um lebenswichtige Interessen
der betroffenen Person oder einer anderen natürlichen Person zu
schützen (Art 6 Abs 1 lit d DSGVO)</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Verarbeitung erforderlich für die Wahrnehmung einer Aufgabe,
die im öffentlichen Interesse liegt (Art 6 Abs 1
lit e DSGVO)</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Verarbeitung erforderlich für die Wahrnehmung einer Aufgabe in
Ausübung öffentlicher Gewalt (Art 6 Abs 1 lit e
DSGVO)</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Verarbeitung erforderlich zur Wahrung berechtigter Interessen
des Verantwortlichen oder eines Dritten, bei der die Interessen
oder Grundrechte und Grundfreiheiten der betroffenen Person nicht
überwiegen (Art 6 Abs 1 lit f DSGVO)</w:t>
            </w:r>
          </w:p>
          <w:p>
            <w:pPr>
              <w:numPr>
                <w:ilvl w:val="0"/>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b/>
                <w:bCs/>
                <w:color w:val="000000"/>
                <w:position w:val="0"/>
                <w:sz w:val="20"/>
                <w:szCs w:val="20"/>
                <w:shd w:val="clear" w:color="auto" w:fill="FFFFFF"/>
              </w:rPr>
              <w:t xml:space="preserve">Rechtsgrundlage gem Art 9
DSGVO</w:t>
            </w:r>
            <w:r>
              <w:rPr>
                <w:rFonts w:ascii="Arial" w:hAnsi="Arial" w:eastAsia="Arial" w:cs="Arial"/>
                <w:color w:val="000000"/>
                <w:position w:val="0"/>
                <w:sz w:val="20"/>
                <w:szCs w:val="20"/>
                <w:shd w:val="clear" w:color="auto" w:fill="FFFFFF"/>
              </w:rPr>
              <w:br/>
              <w:t xml:space="preserve">Daten, aus denen die rassische oder ethnische Herkunft, oder
politische Meinungen, oder religiöse oder weltanschauliche
Überzeugungen, oder die Gewerkschaftszugehörigkeit hervorgehen,
genetische Daten, biometrische Daten zur eindeutigen
Identifizierung einer natürlichen Person, Gesundheitsdaten, Daten
zum Sexualleben oder der sexuellen Orientierung einer natürlichen
Person.
</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Ausdrückliche Einwilligung (Art 9 Abs 2 lit a
DSGVO)</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Verarbeitung von offensichtlich durch die betroffene Person
öffentlich gemachte Daten (Art 9 Abs 2 lit e
DSGVO)</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Verarbeitung zur Durchsetzung oder Abwehr von Rechtsansprüchen
(Art 9 Abs 2 lit f DSGVO)</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Verarbeitung zur Erfüllung von Rechten und Pflichten aus dem
Arbeits- oder Sozialrecht (Art 9 Abs 2 lit b
DSGVO)</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Verarbeitung für im öffentlichen Interesse liegende
Archivzwecke (Art 9 Abs 2 lit j DSGVO)</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Verarbeitung für wissenschaftliche Forschungszwecke (Art 9
Abs 2 lit j DSGVO)</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Etc</w:t>
            </w:r>
          </w:p>
          <w:p>
            <w:pPr>
              <w:numPr>
                <w:ilvl w:val="0"/>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b/>
                <w:bCs/>
                <w:color w:val="000000"/>
                <w:position w:val="0"/>
                <w:sz w:val="20"/>
                <w:szCs w:val="20"/>
                <w:shd w:val="clear" w:color="auto" w:fill="FFFFFF"/>
              </w:rPr>
              <w:t xml:space="preserve">Rechtsgrundlage gem nationalem Recht</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Bildverarbeitung gem §§ 12 und 13 DSG</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Datenverarbeitung gem § 151 GewO (Adressverlage und
Direktmarketingunternehmen)</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Datenverarbeitung gem § 15
Ausbildungspflichtgesetz</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Aufzeichnungen gem § 8 Apothekenbetriebsordnung
2005</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Datenverarbeitung gem §§ 96 ff ArbVG im
Beschäftigtenbereich</w:t>
            </w:r>
          </w:p>
          <w:p>
            <w:pPr>
              <w:numPr>
                <w:ilvl w:val="1"/>
                <w:numId w:val="7182121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Etc</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3.5 Kategorien der betroffenen Personen und Kategorien
personenbezogener Daten</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3.5.1 Beschreibung der Kategorien betroffener
Personen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Kategorien betroffener Personen</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Beschreibung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Kunden</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Lieferanten</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Mitarbeiter</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Etc</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3.5.2 Beschreibung der Kategorien personenbezogener
Daten</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2545550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Kundendaten
</w:t>
            </w:r>
          </w:p>
          <w:p>
            <w:pPr>
              <w:numPr>
                <w:ilvl w:val="1"/>
                <w:numId w:val="2545550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Name bzw Bezeichnung</w:t>
            </w:r>
          </w:p>
          <w:p>
            <w:pPr>
              <w:numPr>
                <w:ilvl w:val="1"/>
                <w:numId w:val="2545550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Adresse</w:t>
            </w:r>
          </w:p>
          <w:p>
            <w:pPr>
              <w:numPr>
                <w:ilvl w:val="1"/>
                <w:numId w:val="2545550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Telefon- und Faxnummer und andere zur Adressierung
erforderliche Informationen</w:t>
            </w:r>
          </w:p>
          <w:p>
            <w:pPr>
              <w:numPr>
                <w:ilvl w:val="1"/>
                <w:numId w:val="2545550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Etc</w:t>
            </w:r>
          </w:p>
          <w:p>
            <w:pPr>
              <w:numPr>
                <w:ilvl w:val="0"/>
                <w:numId w:val="2545550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Lieferantendaten</w:t>
            </w:r>
          </w:p>
          <w:p>
            <w:pPr>
              <w:numPr>
                <w:ilvl w:val="0"/>
                <w:numId w:val="2545550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Etc</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3.6 Kategorien der (zukünftigen) Empfänger</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3.6.1 Interne Empfänger</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Empfänger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Ggf Kategorien von Daten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Rechtsgrundlage</w:t>
            </w:r>
          </w:p>
        </w:tc>
        <w:tc>
          <w:tcPr>
            <w:tcW w:w="0" w:type="auto"/>
            <w:gridSpan w:val="2"/>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Anlass der Offenlegung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3.6.2 Externe Empfänger</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Empfänger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Ggf Kategorien von Daten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Rechtsgrundlage</w:t>
            </w:r>
          </w:p>
        </w:tc>
        <w:tc>
          <w:tcPr>
            <w:tcW w:w="0" w:type="auto"/>
            <w:gridSpan w:val="2"/>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Anlass der Übermittlung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3.7 Übermittlungen von personenbezogenen Daten an ein
Drittland oder an eine internationale Organisation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Drittland/Internationale Organisation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Empfänger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Rechtsgrundlage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Art der Daten/Datenkategorien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Ggf geeignete Garantien gem Art 49 DSGVO</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975"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3.8 Fristen für die Löschung der verschiedenen
Datenkategorien (wenn möglich)</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[Beispielsweise: Löschung aller Daten der Kategorie
Kundendaten nach Ablauf der für den Verantwortlichen geltenden
Garantie-, Gewährleistungs-, Verjährungs- und gesetzlichen
Aufbewahrungsfristen oder gegebenenfalls nach Beendigung von
allfälligen Rechtsstreitigkeiten, bei denen die Daten als Beweis
benötigt werden]</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3.9 Beschreibung der technischen und organisatorischen
Maßnahmen zur Sicherheit der Datenverarbeitung gem Art 32
Abs 1 DSGVO</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[Gegebenenfalls Verweis auf ein Datensicherheitskonzept,
Datenschutz-Folgeabschätzung, Notfallpläne etc]</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Pseudonymisierung personenbezogener Daten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Kategorien der personenbezogenen Daten</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Verfahrensbeschreibung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Verschlüsselung personenbezogener Daten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Kategorien der personenbezogenen Daten</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Verfahrensbeschreibung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Maßnahmen zur Sicherstellung der Vertraulichkeit der
Datenverarbeitung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Kategorien der personenbezogenen Daten</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Verfahrensbeschreibung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Maßnahmen zur Sicherstellung der Integrität der
Datenverarbeitung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Kategorien der personenbezogenen Daten</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Verfahrensbeschreibung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Maßnahmen zur Sicherstellung der Verfügbarkeit der
Datenverarbeitung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Kategorien der personenbezogenen Daten</w:t>
            </w:r>
          </w:p>
        </w:tc>
        <w:tc>
          <w:tcPr>
            <w:tcW w:w="0" w:type="auto"/>
            <w:gridSpan w:val="4"/>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Verfahrensbeschreibung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Maßnahmen zur Sicherstellung der Belastbarkeit der
Systeme und Dienste im Zusammenhang mit der
Verarbeitung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Verfahrensbeschreibung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Maßnahmen zur Sicherstellung der Fähigkeit, die
Verfügbarkeit der personenbezogenen Daten und den Zugang zu ihnen
bei einem physischen oder technischen Zwischenfall rasch
wiederherzustellen</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Verfahrensbeschreibung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Verfahren zur regelmäßigen Überprüfung, Bewertung und
Evaluierung der Wirksamkeit der technischen und organisatorischen
Maßnahmen zur Gewährleistung der Sicherheit der
Verarbeitung</w:t>
            </w:r>
          </w:p>
        </w:tc>
      </w:tr>
      <w:tr>
        <w:trPr>
          <w:trHeight w:val="0" w:hRule="atLeast"/>
        </w:trPr>
        <w:tc>
          <w:tcPr>
            <w:tcW w:w="0" w:type="auto"/>
            <w:gridSpan w:val="5"/>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Verfahrensbeschreibung</w:t>
            </w:r>
          </w:p>
        </w:tc>
      </w:tr>
    </w:tbl>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Anmerkungen:</w:t>
      </w:r>
    </w:p>
    <w:p>
      <w:pPr>
        <w:numPr>
          <w:ilvl w:val="0"/>
          <w:numId w:val="7985432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bis Mai 2018 existierende
</w:t>
      </w:r>
      <w:r>
        <w:rPr>
          <w:rFonts w:ascii="Arial" w:hAnsi="Arial" w:eastAsia="Arial" w:cs="Arial"/>
          <w:b/>
          <w:bCs/>
          <w:color w:val="000000"/>
          <w:sz w:val="20"/>
          <w:szCs w:val="20"/>
        </w:rPr>
        <w:t xml:space="preserve">Datenverarbeitungsregister</w:t>
      </w:r>
      <w:r>
        <w:rPr>
          <w:rFonts w:ascii="Arial" w:hAnsi="Arial" w:eastAsia="Arial" w:cs="Arial"/>
          <w:color w:val="000000"/>
          <w:sz w:val="20"/>
          <w:szCs w:val="20"/>
        </w:rPr>
        <w:t xml:space="preserve"> wird eingestellt und
als Archiv weitergeführt. Die generelle, finanziell und
bürokratisch aufwändige Meldepflicht personenbezogener Daten
entfällt somit (ErwGr 89). Die Meldung zum
Datenverarbeitungsregister wird durch die Pflicht zur Führung eines
Verarbeitungsverzeichnisses (Art 30 DSGVO) ersetzt.</w:t>
      </w:r>
    </w:p>
    <w:p>
      <w:pPr>
        <w:numPr>
          <w:ilvl w:val="0"/>
          <w:numId w:val="7985432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Möglichkeit für jedermann </w:t>
      </w:r>
      <w:r>
        <w:rPr>
          <w:rFonts w:ascii="Arial" w:hAnsi="Arial" w:eastAsia="Arial" w:cs="Arial"/>
          <w:b/>
          <w:bCs/>
          <w:color w:val="000000"/>
          <w:sz w:val="20"/>
          <w:szCs w:val="20"/>
        </w:rPr>
        <w:t xml:space="preserve">Einsicht</w:t>
      </w:r>
      <w:r>
        <w:rPr>
          <w:rFonts w:ascii="Arial" w:hAnsi="Arial" w:eastAsia="Arial" w:cs="Arial"/>
          <w:color w:val="000000"/>
          <w:sz w:val="20"/>
          <w:szCs w:val="20"/>
        </w:rPr>
        <w:t xml:space="preserve"> ins
Verarbeitungsverzeichnis zu nehmen (wie bis dahin in das
Datenverarbeitungsregister) ist in der DSGVO nicht vorgesehen.</w:t>
      </w:r>
    </w:p>
    <w:p>
      <w:pPr>
        <w:numPr>
          <w:ilvl w:val="0"/>
          <w:numId w:val="7985432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Unternehmen und Einrichtungen mit weniger als 250 Mitarbeitern
müssen gem Art 30 Abs 5 DSGVO kein Verzeichnis von
Verarbeitungstätigkeiten führen, es sei denn, der Verantwortliche
führt Datenverarbeitungen durch,
</w:t>
      </w:r>
    </w:p>
    <w:p>
      <w:pPr>
        <w:numPr>
          <w:ilvl w:val="1"/>
          <w:numId w:val="7985432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ein Risiko für die Rechte und Freiheiten der betroffenen
Personen bergen (jedes Risiko, nicht nur ein hohes) oder</w:t>
      </w:r>
    </w:p>
    <w:p>
      <w:pPr>
        <w:numPr>
          <w:ilvl w:val="1"/>
          <w:numId w:val="7985432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nicht nur gelegentlich erfolgen oder</w:t>
      </w:r>
    </w:p>
    <w:p>
      <w:pPr>
        <w:numPr>
          <w:ilvl w:val="1"/>
          <w:numId w:val="7985432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besondere Datenkategorien gem Art 9 Abs 1
DSGVO (besondere Kategorien personenbezogener Daten) oder Daten
über strafrechtliche Verurteilungen oder Straftaten
gem Art 10 DSGVO betreffen.</w:t>
      </w:r>
    </w:p>
    <w:p>
      <w:pPr>
        <w:numPr>
          <w:ilvl w:val="0"/>
          <w:numId w:val="7985432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Verzeichnis von Verarbeitungstätigkeit </w:t>
      </w:r>
      <w:r>
        <w:rPr>
          <w:rFonts w:ascii="Arial" w:hAnsi="Arial" w:eastAsia="Arial" w:cs="Arial"/>
          <w:b/>
          <w:bCs/>
          <w:color w:val="000000"/>
          <w:sz w:val="20"/>
          <w:szCs w:val="20"/>
        </w:rPr>
        <w:t xml:space="preserve">betrifft
sämtliche (teilweise) automatisierten und nicht-automatisierten
Verarbeitungen</w:t>
      </w:r>
      <w:r>
        <w:rPr>
          <w:rFonts w:ascii="Arial" w:hAnsi="Arial" w:eastAsia="Arial" w:cs="Arial"/>
          <w:color w:val="000000"/>
          <w:sz w:val="20"/>
          <w:szCs w:val="20"/>
        </w:rPr>
        <w:t xml:space="preserve"> personenbezogener Daten, die in einem
Dateisystem gespeichert sind oder gespeichert werden sollen.</w:t>
      </w:r>
    </w:p>
    <w:p>
      <w:pPr>
        <w:numPr>
          <w:ilvl w:val="0"/>
          <w:numId w:val="7985432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 Verstoß durch eine fehlende oder nicht vollständige Führung
des Verarbeitungsverzeichnisses oder das Nichtvorlegen des
Verarbeitungsverzeichnisses nach Aufforderung durch die
Datenschutzbehörde kann gem Art 83 Abs 4 lit a
DSGVO mit einer </w:t>
      </w:r>
      <w:r>
        <w:rPr>
          <w:rFonts w:ascii="Arial" w:hAnsi="Arial" w:eastAsia="Arial" w:cs="Arial"/>
          <w:b/>
          <w:bCs/>
          <w:color w:val="000000"/>
          <w:sz w:val="20"/>
          <w:szCs w:val="20"/>
        </w:rPr>
        <w:t xml:space="preserve">Geldbuße</w:t>
      </w:r>
      <w:r>
        <w:rPr>
          <w:rFonts w:ascii="Arial" w:hAnsi="Arial" w:eastAsia="Arial" w:cs="Arial"/>
          <w:color w:val="000000"/>
          <w:sz w:val="20"/>
          <w:szCs w:val="20"/>
        </w:rPr>
        <w:t xml:space="preserve"> von bis zu
EUR 10,000.000,– oder im Falle eines Unternehmens von bis zu
2 % seines gesamten weltweit erzielten Jahresumsatzes des
vorangegangenen Geschäftsjahrs, je nachdem welcher Betrag höher
ist, geahndet werden.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854323">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5455506">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18212169">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24800061">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1818295">
    <w:multiLevelType w:val="hybridMultilevel"/>
    <w:lvl w:ilvl="0" w:tplc="21837286">
      <w:start w:val="1"/>
      <w:numFmt w:val="decimal"/>
      <w:lvlText w:val="%1."/>
      <w:lvlJc w:val="left"/>
      <w:pPr>
        <w:ind w:left="720" w:hanging="360"/>
      </w:pPr>
    </w:lvl>
    <w:lvl w:ilvl="1" w:tplc="21837286" w:tentative="1">
      <w:start w:val="1"/>
      <w:numFmt w:val="lowerLetter"/>
      <w:lvlText w:val="%2."/>
      <w:lvlJc w:val="left"/>
      <w:pPr>
        <w:ind w:left="1440" w:hanging="360"/>
      </w:pPr>
    </w:lvl>
    <w:lvl w:ilvl="2" w:tplc="21837286" w:tentative="1">
      <w:start w:val="1"/>
      <w:numFmt w:val="lowerRoman"/>
      <w:lvlText w:val="%3."/>
      <w:lvlJc w:val="right"/>
      <w:pPr>
        <w:ind w:left="2160" w:hanging="180"/>
      </w:pPr>
    </w:lvl>
    <w:lvl w:ilvl="3" w:tplc="21837286" w:tentative="1">
      <w:start w:val="1"/>
      <w:numFmt w:val="decimal"/>
      <w:lvlText w:val="%4."/>
      <w:lvlJc w:val="left"/>
      <w:pPr>
        <w:ind w:left="2880" w:hanging="360"/>
      </w:pPr>
    </w:lvl>
    <w:lvl w:ilvl="4" w:tplc="21837286" w:tentative="1">
      <w:start w:val="1"/>
      <w:numFmt w:val="lowerLetter"/>
      <w:lvlText w:val="%5."/>
      <w:lvlJc w:val="left"/>
      <w:pPr>
        <w:ind w:left="3600" w:hanging="360"/>
      </w:pPr>
    </w:lvl>
    <w:lvl w:ilvl="5" w:tplc="21837286" w:tentative="1">
      <w:start w:val="1"/>
      <w:numFmt w:val="lowerRoman"/>
      <w:lvlText w:val="%6."/>
      <w:lvlJc w:val="right"/>
      <w:pPr>
        <w:ind w:left="4320" w:hanging="180"/>
      </w:pPr>
    </w:lvl>
    <w:lvl w:ilvl="6" w:tplc="21837286" w:tentative="1">
      <w:start w:val="1"/>
      <w:numFmt w:val="decimal"/>
      <w:lvlText w:val="%7."/>
      <w:lvlJc w:val="left"/>
      <w:pPr>
        <w:ind w:left="5040" w:hanging="360"/>
      </w:pPr>
    </w:lvl>
    <w:lvl w:ilvl="7" w:tplc="21837286" w:tentative="1">
      <w:start w:val="1"/>
      <w:numFmt w:val="lowerLetter"/>
      <w:lvlText w:val="%8."/>
      <w:lvlJc w:val="left"/>
      <w:pPr>
        <w:ind w:left="5760" w:hanging="360"/>
      </w:pPr>
    </w:lvl>
    <w:lvl w:ilvl="8" w:tplc="21837286" w:tentative="1">
      <w:start w:val="1"/>
      <w:numFmt w:val="lowerRoman"/>
      <w:lvlText w:val="%9."/>
      <w:lvlJc w:val="right"/>
      <w:pPr>
        <w:ind w:left="6480" w:hanging="180"/>
      </w:pPr>
    </w:lvl>
  </w:abstractNum>
  <w:abstractNum w:abstractNumId="81818294">
    <w:multiLevelType w:val="hybridMultilevel"/>
    <w:lvl w:ilvl="0" w:tplc="981759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818294">
    <w:abstractNumId w:val="81818294"/>
  </w:num>
  <w:num w:numId="81818295">
    <w:abstractNumId w:val="81818295"/>
  </w:num>
  <w:num w:numId="224800061">
    <w:abstractNumId w:val="224800061"/>
  </w:num>
  <w:num w:numId="718212169">
    <w:abstractNumId w:val="718212169"/>
  </w:num>
  <w:num w:numId="25455506">
    <w:abstractNumId w:val="25455506"/>
  </w:num>
  <w:num w:numId="79854323">
    <w:abstractNumId w:val="798543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43894743" Type="http://schemas.openxmlformats.org/officeDocument/2006/relationships/numbering" Target="numbering.xml"/><Relationship Id="rId717262030"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