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0533489" w:name="document"/>
    <w:bookmarkEnd w:id="80533489"/>
    <w:p/>
    <w:p>
      <w:pPr>
        <w:widowControl w:val="on"/>
        <w:pBdr/>
        <w:spacing w:before="0" w:after="280" w:line="240" w:lineRule="auto"/>
        <w:ind w:left="0" w:right="0"/>
        <w:jc w:val="left"/>
      </w:pPr>
      <w:r>
        <w:rPr>
          <w:rFonts w:ascii="Arial" w:hAnsi="Arial" w:eastAsia="Arial" w:cs="Arial"/>
          <w:color w:val="363A40"/>
          <w:sz w:val="24"/>
          <w:szCs w:val="24"/>
        </w:rPr>
        <w:t xml:space="preserve">Dokument-ID: 979398 | Yvonne Ghali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Berichtigung unrichtiger Daten</w:t>
      </w:r>
    </w:p>
    <w:p>
      <w:pPr>
        <w:widowControl w:val="on"/>
        <w:pBdr/>
        <w:spacing w:before="140" w:after="240" w:line="288" w:lineRule="auto"/>
        <w:ind w:left="0" w:right="0"/>
        <w:jc w:val="left"/>
      </w:pPr>
      <w:r>
        <w:rPr>
          <w:rFonts w:ascii="Arial" w:hAnsi="Arial" w:eastAsia="Arial" w:cs="Arial"/>
          <w:color w:val="000000"/>
          <w:sz w:val="20"/>
          <w:szCs w:val="20"/>
        </w:rPr>
        <w:t xml:space="preserve">An Herrn/Frau/Firma</w:t>
      </w:r>
      <w:r>
        <w:rPr>
          <w:rFonts w:ascii="Arial" w:hAnsi="Arial" w:eastAsia="Arial" w:cs="Arial"/>
          <w:color w:val="000000"/>
          <w:sz w:val="20"/>
          <w:szCs w:val="20"/>
        </w:rPr>
        <w:br/>
        <w:t xml:space="preserve">… [Straße/Hausnummer]</w:t>
      </w:r>
      <w:r>
        <w:rPr>
          <w:rFonts w:ascii="Arial" w:hAnsi="Arial" w:eastAsia="Arial" w:cs="Arial"/>
          <w:color w:val="000000"/>
          <w:sz w:val="20"/>
          <w:szCs w:val="20"/>
        </w:rPr>
        <w:br/>
        <w:t xml:space="preserve">… [PLZ/Ort]</w:t>
      </w:r>
    </w:p>
    <w:p>
      <w:pPr>
        <w:widowControl w:val="on"/>
        <w:pBdr/>
        <w:spacing w:before="140" w:after="240" w:line="288" w:lineRule="auto"/>
        <w:ind w:left="0" w:right="0"/>
        <w:jc w:val="right"/>
      </w:pPr>
      <w:r>
        <w:rPr>
          <w:rFonts w:ascii="Arial" w:hAnsi="Arial" w:eastAsia="Arial" w:cs="Arial"/>
          <w:color w:val="000000"/>
          <w:sz w:val="20"/>
          <w:szCs w:val="20"/>
        </w:rPr>
        <w:t xml:space="preserve">… [Ort], am … [Datum]</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Betreff: Ersuchen um Berichtigung von Daten
gem Art 16 DSGVO</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Sie verwenden unrichtige Daten über meine Person und ich ersuche
Sie gem Art 16 DSGVO, diese Daten wie folgt
richtigzustellen:</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Geburtsdatum: …</w:t>
      </w:r>
      <w:r>
        <w:rPr>
          <w:rFonts w:ascii="Arial" w:hAnsi="Arial" w:eastAsia="Arial" w:cs="Arial"/>
          <w:color w:val="000000"/>
          <w:sz w:val="20"/>
          <w:szCs w:val="20"/>
        </w:rPr>
        <w:br/>
        <w:t xml:space="preserve">Adresse: …</w:t>
      </w:r>
      <w:r>
        <w:rPr>
          <w:rFonts w:ascii="Arial" w:hAnsi="Arial" w:eastAsia="Arial" w:cs="Arial"/>
          <w:color w:val="000000"/>
          <w:sz w:val="20"/>
          <w:szCs w:val="20"/>
        </w:rPr>
        <w:br/>
        <w:t xml:space="preserve">E-Mail: …</w:t>
      </w:r>
      <w:r>
        <w:rPr>
          <w:rFonts w:ascii="Arial" w:hAnsi="Arial" w:eastAsia="Arial" w:cs="Arial"/>
          <w:color w:val="000000"/>
          <w:sz w:val="20"/>
          <w:szCs w:val="20"/>
        </w:rPr>
        <w:br/>
        <w:t xml:space="preserve">Kundennummer: …</w:t>
      </w:r>
    </w:p>
    <w:p>
      <w:pPr>
        <w:widowControl w:val="on"/>
        <w:pBdr/>
        <w:spacing w:before="140" w:after="240" w:line="288" w:lineRule="auto"/>
        <w:ind w:left="0" w:right="0"/>
        <w:jc w:val="left"/>
      </w:pPr>
      <w:r>
        <w:rPr>
          <w:rFonts w:ascii="Arial" w:hAnsi="Arial" w:eastAsia="Arial" w:cs="Arial"/>
          <w:color w:val="000000"/>
          <w:sz w:val="20"/>
          <w:szCs w:val="20"/>
        </w:rPr>
        <w:t xml:space="preserve">Ihre Datenanwendung beinhaltet meiner Kenntnis nach
fälschlicherweise folgende Daten:</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Adresse: …</w:t>
      </w:r>
      <w:r>
        <w:rPr>
          <w:rFonts w:ascii="Arial" w:hAnsi="Arial" w:eastAsia="Arial" w:cs="Arial"/>
          <w:color w:val="000000"/>
          <w:sz w:val="20"/>
          <w:szCs w:val="20"/>
        </w:rPr>
        <w:br/>
        <w:t xml:space="preserve">Sonstige Daten: …</w:t>
      </w:r>
    </w:p>
    <w:p>
      <w:pPr>
        <w:widowControl w:val="on"/>
        <w:pBdr/>
        <w:spacing w:before="140" w:after="240" w:line="288" w:lineRule="auto"/>
        <w:ind w:left="0" w:right="0"/>
        <w:jc w:val="left"/>
      </w:pPr>
      <w:r>
        <w:rPr>
          <w:rFonts w:ascii="Arial" w:hAnsi="Arial" w:eastAsia="Arial" w:cs="Arial"/>
          <w:color w:val="000000"/>
          <w:sz w:val="20"/>
          <w:szCs w:val="20"/>
        </w:rPr>
        <w:t xml:space="preserve">Wurden meine Daten vor der Berichtigung Dritten übermittelt, so
ersuche ich Sie, alle Empfänger der Daten über die Berichtigung der
betroffenen Daten gem Art 19 DSGVO zu verständigen.</w:t>
      </w:r>
    </w:p>
    <w:p>
      <w:pPr>
        <w:widowControl w:val="on"/>
        <w:pBdr/>
        <w:spacing w:before="140" w:after="240" w:line="288" w:lineRule="auto"/>
        <w:ind w:left="0" w:right="0"/>
        <w:jc w:val="left"/>
      </w:pPr>
      <w:r>
        <w:rPr>
          <w:rFonts w:ascii="Arial" w:hAnsi="Arial" w:eastAsia="Arial" w:cs="Arial"/>
          <w:color w:val="000000"/>
          <w:sz w:val="20"/>
          <w:szCs w:val="20"/>
        </w:rPr>
        <w:t xml:space="preserve">Zum Nachweis meiner Identität lege ich eine Kopie meines …
[Reisepasses, Personalausweises, Führerscheines] bei.</w:t>
      </w:r>
    </w:p>
    <w:p>
      <w:pPr>
        <w:widowControl w:val="on"/>
        <w:pBdr/>
        <w:spacing w:before="140" w:after="240" w:line="288" w:lineRule="auto"/>
        <w:ind w:left="0" w:right="0"/>
        <w:jc w:val="left"/>
      </w:pPr>
      <w:r>
        <w:rPr>
          <w:rFonts w:ascii="Arial" w:hAnsi="Arial" w:eastAsia="Arial" w:cs="Arial"/>
          <w:color w:val="000000"/>
          <w:sz w:val="20"/>
          <w:szCs w:val="20"/>
        </w:rPr>
        <w:t xml:space="preserve">In Erwartung Ihrer Mitteilung über die durchgeführte
Richtigstellung binnen der gesetzlich vorgeschriebenen Frist von
einem Monat verbleibe ich</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7869098" w:name="note1"/>
            <w:bookmarkEnd w:id="37869098"/>
            <w:bookmarkStart w:id="9215998990979" w:name="note1"/>
            <w:r>
              <w:rPr>
                <w:rFonts w:ascii="Arial" w:hAnsi="Arial" w:eastAsia="Arial" w:cs="Arial"/>
                <w:b/>
                <w:bCs/>
                <w:color w:val="000000"/>
                <w:position w:val="0"/>
                <w:sz w:val="20"/>
                <w:szCs w:val="20"/>
              </w:rPr>
              <w:t xml:space="preserve">[1]</w:t>
            </w:r>
            <w:bookmarkEnd w:id="921599899097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Art 16 DSGVO</w:t>
            </w:r>
            <w:r>
              <w:rPr>
                <w:rFonts w:ascii="Arial" w:hAnsi="Arial" w:eastAsia="Arial" w:cs="Arial"/>
                <w:color w:val="000000"/>
                <w:position w:val="0"/>
                <w:sz w:val="20"/>
                <w:szCs w:val="20"/>
              </w:rPr>
              <w:t xml:space="preserve"> hat die betroffene Person
das Recht auf Berichtigung ihrer Daten. Dieses Recht auf
Berichtigung umfasst im Hinblick auf den Zweck der
Datenverarbeitung auch das </w:t>
            </w:r>
            <w:r>
              <w:rPr>
                <w:rFonts w:ascii="Arial" w:hAnsi="Arial" w:eastAsia="Arial" w:cs="Arial"/>
                <w:b/>
                <w:bCs/>
                <w:color w:val="000000"/>
                <w:position w:val="0"/>
                <w:sz w:val="20"/>
                <w:szCs w:val="20"/>
              </w:rPr>
              <w:t xml:space="preserve">Recht auf Vervollständigung der
Daten</w:t>
            </w:r>
            <w:r>
              <w:rPr>
                <w:rFonts w:ascii="Arial" w:hAnsi="Arial" w:eastAsia="Arial" w:cs="Arial"/>
                <w:color w:val="000000"/>
                <w:position w:val="0"/>
                <w:sz w:val="20"/>
                <w:szCs w:val="20"/>
              </w:rPr>
              <w:t xml:space="preserve"> und das </w:t>
            </w:r>
            <w:r>
              <w:rPr>
                <w:rFonts w:ascii="Arial" w:hAnsi="Arial" w:eastAsia="Arial" w:cs="Arial"/>
                <w:b/>
                <w:bCs/>
                <w:color w:val="000000"/>
                <w:position w:val="0"/>
                <w:sz w:val="20"/>
                <w:szCs w:val="20"/>
              </w:rPr>
              <w:t xml:space="preserve">Recht auf Speicherung einer
ergänzenden Erklärung</w:t>
            </w:r>
            <w:r>
              <w:rPr>
                <w:rFonts w:ascii="Arial" w:hAnsi="Arial" w:eastAsia="Arial" w:cs="Arial"/>
                <w:color w:val="000000"/>
                <w:position w:val="0"/>
                <w:sz w:val="20"/>
                <w:szCs w:val="20"/>
              </w:rPr>
              <w:t xml:space="preserv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071428" w:name="note2"/>
            <w:bookmarkEnd w:id="10071428"/>
            <w:bookmarkStart w:id="890905064139" w:name="note2"/>
            <w:r>
              <w:rPr>
                <w:rFonts w:ascii="Arial" w:hAnsi="Arial" w:eastAsia="Arial" w:cs="Arial"/>
                <w:b/>
                <w:bCs/>
                <w:color w:val="000000"/>
                <w:position w:val="0"/>
                <w:sz w:val="20"/>
                <w:szCs w:val="20"/>
              </w:rPr>
              <w:t xml:space="preserve">[2]</w:t>
            </w:r>
            <w:bookmarkEnd w:id="89090506413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4 Abs 2 DSG sieht in Durchführung der DSGVO einen
besonderen Fall vor. Ist eine </w:t>
            </w:r>
            <w:r>
              <w:rPr>
                <w:rFonts w:ascii="Arial" w:hAnsi="Arial" w:eastAsia="Arial" w:cs="Arial"/>
                <w:b/>
                <w:bCs/>
                <w:color w:val="000000"/>
                <w:position w:val="0"/>
                <w:sz w:val="20"/>
                <w:szCs w:val="20"/>
              </w:rPr>
              <w:t xml:space="preserve">Richtigstellung von Daten aus
wirtschaftlichen oder technischen Gründen nur zu bestimmten
Zeitpunkten möglich</w:t>
            </w:r>
            <w:r>
              <w:rPr>
                <w:rFonts w:ascii="Arial" w:hAnsi="Arial" w:eastAsia="Arial" w:cs="Arial"/>
                <w:color w:val="000000"/>
                <w:position w:val="0"/>
                <w:sz w:val="20"/>
                <w:szCs w:val="20"/>
              </w:rPr>
              <w:t xml:space="preserve">, sodass einem Richtigstellungsbegehren
einer betroffenen Person nicht unverzüglich nachgekommen werden
kann, so hat der Verantwortliche die Verarbeitung dieser Daten bis
zur Richtigstellung einzuschränken. Die noch nicht
richtiggestellten Daten bleiben für diese Zeit zwar gespeichert,
dürfen in der Folge jedoch nur mit Einwilligung der betroffenen
Person zur Geltendmachung, Ausübung oder Verteidigung von
Rechtsansprüchen, zum Schutz der Rechte einer anderen natürlichen
oder juristischen Person oder aus Gründen eines wichtigen
öffentlichen Interesses verarbeitet werden (mit Wirkung nach
Art 18 Abs 2 DSGVO).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593877" w:name="note3"/>
            <w:bookmarkEnd w:id="78593877"/>
            <w:bookmarkStart w:id="8606197156898" w:name="note3"/>
            <w:r>
              <w:rPr>
                <w:rFonts w:ascii="Arial" w:hAnsi="Arial" w:eastAsia="Arial" w:cs="Arial"/>
                <w:b/>
                <w:bCs/>
                <w:color w:val="000000"/>
                <w:position w:val="0"/>
                <w:sz w:val="20"/>
                <w:szCs w:val="20"/>
              </w:rPr>
              <w:t xml:space="preserve">[3]</w:t>
            </w:r>
            <w:bookmarkEnd w:id="860619715689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die </w:t>
            </w:r>
            <w:r>
              <w:rPr>
                <w:rFonts w:ascii="Arial" w:hAnsi="Arial" w:eastAsia="Arial" w:cs="Arial"/>
                <w:b/>
                <w:bCs/>
                <w:color w:val="000000"/>
                <w:position w:val="0"/>
                <w:sz w:val="20"/>
                <w:szCs w:val="20"/>
              </w:rPr>
              <w:t xml:space="preserve">Antworten eines Prüflings in einer
Prüfungsarbeit</w:t>
            </w:r>
            <w:r>
              <w:rPr>
                <w:rFonts w:ascii="Arial" w:hAnsi="Arial" w:eastAsia="Arial" w:cs="Arial"/>
                <w:color w:val="000000"/>
                <w:position w:val="0"/>
                <w:sz w:val="20"/>
                <w:szCs w:val="20"/>
              </w:rPr>
              <w:t xml:space="preserve"> stellen personenbezogene Daten dar. Der
Inhalt der Antworten spiegelt nämlich den Kenntnisstand und das
Kompetenzniveau des Prüflings in einem bestimmten Bereich sowie
gegebenenfalls seine Gedankengänge, sein Urteilsvermögen und sein
kritisches Denken wider. Im Fall einer handschriftlich verfassten
Prüfung enthalten die Antworten zudem Informationen über seine
Handschrift. Auch die Anmerkungen des Prüfers zu den Antworten des
Prüflings stellen Informationen über den betreffenden Prüfling dar.
Damit stehen der betroffenen Person auch bezüglich
Prüfungsantworten die Betroffenenrechte der DSGVO zu. Auch kommt
hier das Recht auf Berichtigung gem Art 16 DSGVO in
Betracht. Das Recht auf Berichtigung ermöglicht es dem Prüfling
natürlich nicht, „falsche“ Antworten im Nachhinein zu
„berichtigen“. Die Richtigkeit und die Vollständigkeit
personenbezogener Daten sind im Hinblick auf den Zweck zu
beurteilen, für den die Daten erhoben wurden. Dieser Zweck besteht
bei den Antworten eines Prüflings darin, den Kenntnisstand und das
Kompetenzniveau des betreffenden Prüflings zum Zeitpunkt der
Prüfung festzustellen. Dieser Stand bzw dieses Niveau spiegelt sich
gerade in etwaigen Fehlern in diesen Antworten wider. Solche Fehler
stellen somit in keiner Weise eine Unrichtigkeit dar, die ein Recht
auf Berichtigung begründen würde. Ein Berichtigungsanspruch könnte
jedoch bestehen, wenn beispielsweise Prüfungsarbeiten irrtümlich
vertauscht wurden, sodass dem betreffenden Prüfling die Antworten
eines anderen Prüflings zugeordnet wurden, oder wenn ein Teil der
Blätter mit den Antworten dieses Prüflings verloren gegangen ist,
sodass die Antworten nicht vollständig sind, oder aber, wenn
etwaige Anmerkungen des Prüfers seine Beurteilung der Antworten des
betreffenden Prüflings nicht richtig dokumentieren.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549721">
    <w:multiLevelType w:val="hybridMultilevel"/>
    <w:lvl w:ilvl="0" w:tplc="44343840">
      <w:start w:val="1"/>
      <w:numFmt w:val="decimal"/>
      <w:lvlText w:val="%1."/>
      <w:lvlJc w:val="left"/>
      <w:pPr>
        <w:ind w:left="720" w:hanging="360"/>
      </w:pPr>
    </w:lvl>
    <w:lvl w:ilvl="1" w:tplc="44343840" w:tentative="1">
      <w:start w:val="1"/>
      <w:numFmt w:val="lowerLetter"/>
      <w:lvlText w:val="%2."/>
      <w:lvlJc w:val="left"/>
      <w:pPr>
        <w:ind w:left="1440" w:hanging="360"/>
      </w:pPr>
    </w:lvl>
    <w:lvl w:ilvl="2" w:tplc="44343840" w:tentative="1">
      <w:start w:val="1"/>
      <w:numFmt w:val="lowerRoman"/>
      <w:lvlText w:val="%3."/>
      <w:lvlJc w:val="right"/>
      <w:pPr>
        <w:ind w:left="2160" w:hanging="180"/>
      </w:pPr>
    </w:lvl>
    <w:lvl w:ilvl="3" w:tplc="44343840" w:tentative="1">
      <w:start w:val="1"/>
      <w:numFmt w:val="decimal"/>
      <w:lvlText w:val="%4."/>
      <w:lvlJc w:val="left"/>
      <w:pPr>
        <w:ind w:left="2880" w:hanging="360"/>
      </w:pPr>
    </w:lvl>
    <w:lvl w:ilvl="4" w:tplc="44343840" w:tentative="1">
      <w:start w:val="1"/>
      <w:numFmt w:val="lowerLetter"/>
      <w:lvlText w:val="%5."/>
      <w:lvlJc w:val="left"/>
      <w:pPr>
        <w:ind w:left="3600" w:hanging="360"/>
      </w:pPr>
    </w:lvl>
    <w:lvl w:ilvl="5" w:tplc="44343840" w:tentative="1">
      <w:start w:val="1"/>
      <w:numFmt w:val="lowerRoman"/>
      <w:lvlText w:val="%6."/>
      <w:lvlJc w:val="right"/>
      <w:pPr>
        <w:ind w:left="4320" w:hanging="180"/>
      </w:pPr>
    </w:lvl>
    <w:lvl w:ilvl="6" w:tplc="44343840" w:tentative="1">
      <w:start w:val="1"/>
      <w:numFmt w:val="decimal"/>
      <w:lvlText w:val="%7."/>
      <w:lvlJc w:val="left"/>
      <w:pPr>
        <w:ind w:left="5040" w:hanging="360"/>
      </w:pPr>
    </w:lvl>
    <w:lvl w:ilvl="7" w:tplc="44343840" w:tentative="1">
      <w:start w:val="1"/>
      <w:numFmt w:val="lowerLetter"/>
      <w:lvlText w:val="%8."/>
      <w:lvlJc w:val="left"/>
      <w:pPr>
        <w:ind w:left="5760" w:hanging="360"/>
      </w:pPr>
    </w:lvl>
    <w:lvl w:ilvl="8" w:tplc="44343840" w:tentative="1">
      <w:start w:val="1"/>
      <w:numFmt w:val="lowerRoman"/>
      <w:lvlText w:val="%9."/>
      <w:lvlJc w:val="right"/>
      <w:pPr>
        <w:ind w:left="6480" w:hanging="180"/>
      </w:pPr>
    </w:lvl>
  </w:abstractNum>
  <w:abstractNum w:abstractNumId="48549720">
    <w:multiLevelType w:val="hybridMultilevel"/>
    <w:lvl w:ilvl="0" w:tplc="308212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549720">
    <w:abstractNumId w:val="48549720"/>
  </w:num>
  <w:num w:numId="48549721">
    <w:abstractNumId w:val="485497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98545931" Type="http://schemas.openxmlformats.org/officeDocument/2006/relationships/numbering" Target="numbering.xml"/><Relationship Id="rId3086515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