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34963911" w:name="document"/>
    <w:bookmarkEnd w:id="34963911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1019782 | FORUM Media (red) |
Muster | Korrespondenz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Meldung eines Data Breach bei der DSB</w:t>
      </w:r>
    </w:p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A. Vertraulichkeit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Zutrittskontrolle: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Schutz vor unbefugtem
Zutritt zu Datenverarbeitungsanlagen durch: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530"/>
        <w:gridCol w:w="4530"/>
      </w:tblGrid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Schlüssel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Magnet- oder
Chipkarten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Elektrische
Türöffner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Portier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Sicherheitspersonal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Alarmanlagen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Videoanlage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Einbruchshemmende
Fenster und/oder Sicherheitstüren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Anmeldung beim Empfang
mit Personenkontrolle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Begleitung von Besuchern
im Unternehmensgebäude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Tragen von
Firmen-/Besucherausweisen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Sonstiges: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Zugangskontrolle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: Schutz vor unbefugter
Systembenutzung durch: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530"/>
        <w:gridCol w:w="4530"/>
      </w:tblGrid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Kennwörter
(einschließlich entsprechender Policy)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Verschlüsselung von
Datenträgern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Automatische
Sperrmechanismen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Sonstiges: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
Zwei-Faktor-Authentifizierung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Zugriffskontrolle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: Kein unbefugtes Lesen,
Kopieren, Verändern oder Entfernen innerhalb des Systems durch: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530"/>
        <w:gridCol w:w="4530"/>
      </w:tblGrid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
Standard-Berechtigungsprofile auf „need to know-Basis“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Standardprozess für
Berechtigungsvergabe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Protokollierung von
Zugriffen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Sichere Aufbewahrung von
Speichermedien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Periodische Überprüfung
der vergebenen Berechtigungen, insb von administrativen
Benutzerkonten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Datenschutzgerechte
Wiederverwendung von Datenträgern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Datenschutzgerechte
Entsorgung nicht mehr benötigter Datenträger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Clear-Desk/Clear-Screen
Policy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Sonstiges: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Pseudonymisierung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: sofern für die jeweilige
Datenverarbeitung möglich, werden die primären
Identifikationsmerkmale der personenbezogenen Daten in der
jeweiligen Datenverarbeitung entfernt, und gesondert
aufbewahrt.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530"/>
        <w:gridCol w:w="4530"/>
      </w:tblGrid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ja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nein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Klassifikationsschema für Daten: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Aufgrund
gesetzlicher Verpflichtungen oder Selbsteinschätzung
(geheim/vertraulich/intern/öffentlich).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530"/>
        <w:gridCol w:w="4530"/>
      </w:tblGrid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ja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nein</w:t>
            </w:r>
          </w:p>
        </w:tc>
      </w:tr>
    </w:tbl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B. </w:t>
      </w: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Datenintegrität</w:t>
      </w: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 </w:t>
      </w:r>
      <w:r>
        <w:rPr>
          <w:rFonts w:ascii="Arial" w:hAnsi="Arial" w:eastAsia="Arial" w:cs="Arial"/>
          <w:b/>
          <w:bCs/>
          <w:color w:val="777777"/>
          <w:sz w:val="18"/>
          <w:szCs w:val="18"/>
        </w:rPr>
        <w:t xml:space="preserve"> (</w:t>
      </w:r>
      <w:r>
        <w:rPr>
          <w:rFonts w:ascii="Arial" w:hAnsi="Arial" w:eastAsia="Arial" w:cs="Arial"/>
          <w:b/>
          <w:bCs/>
          <w:color w:val="777777"/>
          <w:sz w:val="18"/>
          <w:szCs w:val="18"/>
        </w:rPr>
        <w:t xml:space="preserve">Fußnote: </w:t>
      </w:r>
      <w:r>
        <w:rPr>
          <w:rFonts w:ascii="Arial" w:hAnsi="Arial" w:eastAsia="Arial" w:cs="Arial"/>
          <w:b/>
          <w:bCs/>
          <w:color w:val="777777"/>
          <w:sz w:val="18"/>
          <w:szCs w:val="18"/>
        </w:rPr>
        <w:t xml:space="preserve">Verhinderung von (unbeabsichtigter) Zerstörung/Vernichtung,
(unbeabsichtigter) Schädigung, (unbeabsichtigtem) Verlust,
(unbeabsichtigter) Veränderung von personenbezogenen
Daten.</w:t>
      </w:r>
      <w:r>
        <w:rPr>
          <w:rFonts w:ascii="Arial" w:hAnsi="Arial" w:eastAsia="Arial" w:cs="Arial"/>
          <w:b/>
          <w:bCs/>
          <w:color w:val="777777"/>
          <w:sz w:val="18"/>
          <w:szCs w:val="18"/>
        </w:rPr>
        <w:t xml:space="preserve">) 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Weitergabekontrolle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: kein unbefugtes Lesen,
Kopieren, Verändern oder Entfernen bei elektronischer Übertragung
oder Transport durch: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530"/>
        <w:gridCol w:w="4530"/>
      </w:tblGrid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Verschlüsselung von
Datenträgern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Verschlüsselung von
Dateien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Virtual Private Networks
(VPN)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Elektronische
Signatur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Sonstiges: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Eingabekontrolle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: Feststellung, ob und von wem
personenbezogene Daten in Datenverarbeitungssysteme eingegeben,
verändert oder entfernt worden sind durch: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530"/>
        <w:gridCol w:w="4530"/>
      </w:tblGrid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Protokollierung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Dokumentenmanagement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Sonstiges: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C. Verfügbarkeit und Belastbarkeit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Verfügbarkeitskontrolle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: Schutz gegen zufällige
oder mutwillige Zerstörung bzw Verlust durch: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530"/>
        <w:gridCol w:w="4530"/>
      </w:tblGrid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Backup-Strategie
(online/offline; on-site/off-site)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Unterbrechungsfreie
Stromversorgung (USV, Dieselaggregat)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Virenschutz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Firewall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Meldewege und
Notfallpläne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Security Checks auf
Infrastruktur- und Applikationsebene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Mehrstufiges
Sicherungskonzept mit verschlüsselter Auslagerung der Sicherungen
in ein Ausweichrechenzentrum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Standardprozesse bei
Wechsel/Ausscheiden von Mitarbeitern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Sonstiges: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Rasche </w:t>
      </w: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Wiederherstellbarkeit: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530"/>
        <w:gridCol w:w="4530"/>
      </w:tblGrid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ja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nein</w:t>
            </w:r>
          </w:p>
        </w:tc>
      </w:tr>
    </w:tbl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D. Verfahren zur regelmäßigen Überprüfung, Bewertung und
Evaluierung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Datenschutz-Management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, einschließlich
regelmäßiger Mitarbeiter-Schulungen: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530"/>
        <w:gridCol w:w="4530"/>
      </w:tblGrid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ja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nein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Incident-Response-Management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530"/>
        <w:gridCol w:w="4530"/>
      </w:tblGrid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ja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nein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Datenschutzfreundliche Voreinstellungen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530"/>
        <w:gridCol w:w="4530"/>
      </w:tblGrid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ja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nein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Auftragskontrolle: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keine
Auftragsdatenverarbeitung iSv Art 28 DS-GVO ohne entsprechende
Weisung des Auftraggebers durch: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530"/>
        <w:gridCol w:w="4530"/>
      </w:tblGrid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Eindeutige
Vertragsgestaltung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Formalisiertes
Auftragsmanagement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Strenge Auswahl des
Auftragsverarbeiters (ISO-Zertifizierung, ISMS)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
Vorabüberzeugungspflicht</w:t>
            </w:r>
          </w:p>
        </w:tc>
      </w:tr>
      <w:tr>
        <w:trPr>
          <w:trHeight w:val="0" w:hRule="atLeast"/>
        </w:trPr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Nachkontrollen</w:t>
            </w:r>
          </w:p>
        </w:tc>
        <w:tc>
          <w:tcPr>
            <w:tcW w:w="453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Sonstiges: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586218">
    <w:multiLevelType w:val="hybridMultilevel"/>
    <w:lvl w:ilvl="0" w:tplc="28788222">
      <w:start w:val="1"/>
      <w:numFmt w:val="decimal"/>
      <w:lvlText w:val="%1."/>
      <w:lvlJc w:val="left"/>
      <w:pPr>
        <w:ind w:left="720" w:hanging="360"/>
      </w:pPr>
    </w:lvl>
    <w:lvl w:ilvl="1" w:tplc="28788222" w:tentative="1">
      <w:start w:val="1"/>
      <w:numFmt w:val="lowerLetter"/>
      <w:lvlText w:val="%2."/>
      <w:lvlJc w:val="left"/>
      <w:pPr>
        <w:ind w:left="1440" w:hanging="360"/>
      </w:pPr>
    </w:lvl>
    <w:lvl w:ilvl="2" w:tplc="28788222" w:tentative="1">
      <w:start w:val="1"/>
      <w:numFmt w:val="lowerRoman"/>
      <w:lvlText w:val="%3."/>
      <w:lvlJc w:val="right"/>
      <w:pPr>
        <w:ind w:left="2160" w:hanging="180"/>
      </w:pPr>
    </w:lvl>
    <w:lvl w:ilvl="3" w:tplc="28788222" w:tentative="1">
      <w:start w:val="1"/>
      <w:numFmt w:val="decimal"/>
      <w:lvlText w:val="%4."/>
      <w:lvlJc w:val="left"/>
      <w:pPr>
        <w:ind w:left="2880" w:hanging="360"/>
      </w:pPr>
    </w:lvl>
    <w:lvl w:ilvl="4" w:tplc="28788222" w:tentative="1">
      <w:start w:val="1"/>
      <w:numFmt w:val="lowerLetter"/>
      <w:lvlText w:val="%5."/>
      <w:lvlJc w:val="left"/>
      <w:pPr>
        <w:ind w:left="3600" w:hanging="360"/>
      </w:pPr>
    </w:lvl>
    <w:lvl w:ilvl="5" w:tplc="28788222" w:tentative="1">
      <w:start w:val="1"/>
      <w:numFmt w:val="lowerRoman"/>
      <w:lvlText w:val="%6."/>
      <w:lvlJc w:val="right"/>
      <w:pPr>
        <w:ind w:left="4320" w:hanging="180"/>
      </w:pPr>
    </w:lvl>
    <w:lvl w:ilvl="6" w:tplc="28788222" w:tentative="1">
      <w:start w:val="1"/>
      <w:numFmt w:val="decimal"/>
      <w:lvlText w:val="%7."/>
      <w:lvlJc w:val="left"/>
      <w:pPr>
        <w:ind w:left="5040" w:hanging="360"/>
      </w:pPr>
    </w:lvl>
    <w:lvl w:ilvl="7" w:tplc="28788222" w:tentative="1">
      <w:start w:val="1"/>
      <w:numFmt w:val="lowerLetter"/>
      <w:lvlText w:val="%8."/>
      <w:lvlJc w:val="left"/>
      <w:pPr>
        <w:ind w:left="5760" w:hanging="360"/>
      </w:pPr>
    </w:lvl>
    <w:lvl w:ilvl="8" w:tplc="287882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86217">
    <w:multiLevelType w:val="hybridMultilevel"/>
    <w:lvl w:ilvl="0" w:tplc="907892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586217">
    <w:abstractNumId w:val="19586217"/>
  </w:num>
  <w:num w:numId="19586218">
    <w:abstractNumId w:val="195862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956031009" Type="http://schemas.openxmlformats.org/officeDocument/2006/relationships/numbering" Target="numbering.xml"/><Relationship Id="rId204749114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