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6962300" w:name="document"/>
    <w:bookmarkEnd w:id="16962300"/>
    <w:p/>
    <w:p>
      <w:pPr>
        <w:widowControl w:val="on"/>
        <w:pBdr/>
        <w:spacing w:before="0" w:after="280" w:line="240" w:lineRule="auto"/>
        <w:ind w:left="0" w:right="0"/>
        <w:jc w:val="left"/>
      </w:pPr>
      <w:r>
        <w:rPr>
          <w:rFonts w:ascii="Arial" w:hAnsi="Arial" w:eastAsia="Arial" w:cs="Arial"/>
          <w:color w:val="363A40"/>
          <w:sz w:val="24"/>
          <w:szCs w:val="24"/>
        </w:rPr>
        <w:t xml:space="preserve">Dokument-ID: 829416 | Susanna Perl-Lippitsch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Aufteilungsantrag (mit Rechnungslegungsbegehren, gemeinsame
Kredite und voreheliche Schulden)</w:t>
      </w:r>
    </w:p>
    <w:tbl>
      <w:tblPr>
        <w:tblStyle w:val="NormalTablePHPDOCX"/>
        <w:tblW w:w="8865" w:type="dxa"/>
        <w:tblInd w:w="0" w:type="auto"/>
        <w:tblBorders>
          <w:top w:val="nil" w:color="363A40" w:sz="0"/>
          <w:left w:val="nil" w:color="363A40" w:sz="0"/>
          <w:bottom w:val="nil" w:color="363A40" w:sz="0"/>
          <w:right w:val="nil" w:color="363A40" w:sz="0"/>
        </w:tblBorders>
      </w:tblPr>
      <w:tblGrid>
        <w:gridCol w:w="2445"/>
        <w:gridCol w:w="6420"/>
      </w:tblGrid>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 [Name]</w:t>
            </w:r>
            <w:r>
              <w:rPr>
                <w:rFonts w:ascii="Arial" w:hAnsi="Arial" w:eastAsia="Arial" w:cs="Arial"/>
                <w:b/>
                <w:bCs/>
                <w:color w:val="000000"/>
                <w:position w:val="0"/>
                <w:sz w:val="20"/>
                <w:szCs w:val="20"/>
                <w:shd w:val="clear" w:color="auto" w:fill="FFFFFF"/>
              </w:rPr>
              <w:br/>
              <w:t xml:space="preserve">Rechtsanwalt/Rechtsanwältin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Antragsgegner/in:</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Aufteilung gem §§ 81 ff EheG</w:t>
            </w:r>
            <w:r>
              <w:rPr>
                <w:rFonts w:ascii="Arial" w:hAnsi="Arial" w:eastAsia="Arial" w:cs="Arial"/>
                <w:color w:val="000000"/>
                <w:position w:val="0"/>
                <w:sz w:val="20"/>
                <w:szCs w:val="20"/>
                <w:shd w:val="clear" w:color="auto" w:fill="FFFFFF"/>
              </w:rPr>
              <w:br/>
              <w:t xml:space="preserve">Streitwert EUR …</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Aufteilungsantrag gem §§ 81 ff
Ehegesetz</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Allgemeines</w:t>
      </w:r>
    </w:p>
    <w:p>
      <w:pPr>
        <w:widowControl w:val="on"/>
        <w:pBdr/>
        <w:spacing w:before="140" w:after="240" w:line="288" w:lineRule="auto"/>
        <w:ind w:left="0" w:right="0"/>
        <w:jc w:val="left"/>
      </w:pPr>
      <w:r>
        <w:rPr>
          <w:rFonts w:ascii="Arial" w:hAnsi="Arial" w:eastAsia="Arial" w:cs="Arial"/>
          <w:color w:val="000000"/>
          <w:sz w:val="20"/>
          <w:szCs w:val="20"/>
        </w:rPr>
        <w:t xml:space="preserve">Die zwischen den Streitteilen am … [Datum] vor dem Standesamt …
[Name], zur Ehebuchnummer … [Nummer] geschlossene Ehe wurde mit hg
rechtskräftigem Urteil vom … [Datum] zur GZ … [Nummer] aus dem
gleichteiligen Verschulden der Streitteile geschieden. Der
gegenständliche Antrag ist daher innerhalb der Frist des § 95
EheG gestellt.</w:t>
      </w:r>
    </w:p>
    <w:p>
      <w:pPr>
        <w:widowControl w:val="on"/>
        <w:pBdr/>
        <w:spacing w:before="140" w:after="240" w:line="288" w:lineRule="auto"/>
        <w:ind w:left="0" w:right="0"/>
        <w:jc w:val="left"/>
      </w:pPr>
      <w:r>
        <w:rPr>
          <w:rFonts w:ascii="Arial" w:hAnsi="Arial" w:eastAsia="Arial" w:cs="Arial"/>
          <w:color w:val="000000"/>
          <w:sz w:val="20"/>
          <w:szCs w:val="20"/>
        </w:rPr>
        <w:t xml:space="preserve">Der letzte gemeinsame eheliche Wohnsitz war in …, sodass die
Zuständigkeit des angerufenen Gerichtes gegeben ist.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Weitere Beweise und Anträge ausdrücklich vorbehalten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Aufteilungsstichtag</w:t>
      </w:r>
    </w:p>
    <w:p>
      <w:pPr>
        <w:widowControl w:val="on"/>
        <w:pBdr/>
        <w:spacing w:before="140" w:after="240" w:line="288" w:lineRule="auto"/>
        <w:ind w:left="0" w:right="0"/>
        <w:jc w:val="left"/>
      </w:pPr>
      <w:r>
        <w:rPr>
          <w:rFonts w:ascii="Arial" w:hAnsi="Arial" w:eastAsia="Arial" w:cs="Arial"/>
          <w:color w:val="000000"/>
          <w:sz w:val="20"/>
          <w:szCs w:val="20"/>
        </w:rPr>
        <w:t xml:space="preserve">Die eheliche Lebensgemeinschaft wurde im … [Monat/Jahr]
aufgelöst, da der/die Antragsteller/in zu diesem Zeitpunkt aus der
Ehewohnung ausgezogen ist. Dieser Stichtag ist daher der Abrechnung
zugrunde zu legen.</w:t>
      </w:r>
    </w:p>
    <w:p>
      <w:pPr>
        <w:widowControl w:val="on"/>
        <w:pBdr/>
        <w:spacing w:before="140" w:after="240" w:line="288" w:lineRule="auto"/>
        <w:ind w:left="0" w:right="0"/>
        <w:jc w:val="left"/>
      </w:pPr>
      <w:r>
        <w:rPr>
          <w:rFonts w:ascii="Arial" w:hAnsi="Arial" w:eastAsia="Arial" w:cs="Arial"/>
          <w:color w:val="000000"/>
          <w:sz w:val="20"/>
          <w:szCs w:val="20"/>
        </w:rPr>
        <w:t xml:space="preserve">Eine Einigung mit der Antragsgegnerin über die Aufteilung des
ehelichen Gebrauchsvermögens und der ehelichen Ersparnisse war
bisher nicht möglich, da der/die Antragsgegner/in nicht gewillt
war, die der Aufteilung unterliegenden Vermögenswerte
offenzulegen.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Aufteilungsmasse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vormals eheliche Wohnung befindet sich in … [Adresse der
Ehewohnung]. Es handelt sich dabei um eine Eigentumswohnung, die im
Alleineigentum des/der Antragsgegners/-gegnerin steht.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Grundbuchsauzug betreffend die oben genannte Eigentumswohnung
mit der … [Bezeichnung]</w:t>
            </w:r>
            <w:r>
              <w:rPr>
                <w:rFonts w:ascii="Arial" w:hAnsi="Arial" w:eastAsia="Arial" w:cs="Arial"/>
                <w:color w:val="000000"/>
                <w:position w:val="0"/>
                <w:sz w:val="20"/>
                <w:szCs w:val="20"/>
                <w:shd w:val="clear" w:color="auto" w:fill="FFFFFF"/>
              </w:rPr>
              <w:br/>
              <w:t xml:space="preserve">Weitere Beweise und Anträge ausdrücklich vorbehalten</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Antragsgegner/in verfügt über folgende, auf seinem/ihren
Namen lautende Vermögenswerte, welche während aufrechter Ehe
angeschafft wurden und somit der Aufteilung unterliegen: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 Versicherungen</w:t>
      </w:r>
    </w:p>
    <w:p>
      <w:pPr>
        <w:widowControl w:val="on"/>
        <w:pBdr/>
        <w:spacing w:before="140" w:after="240" w:line="288" w:lineRule="auto"/>
        <w:ind w:left="0" w:right="0"/>
        <w:jc w:val="left"/>
      </w:pPr>
      <w:r>
        <w:rPr>
          <w:rFonts w:ascii="Arial" w:hAnsi="Arial" w:eastAsia="Arial" w:cs="Arial"/>
          <w:color w:val="000000"/>
          <w:sz w:val="20"/>
          <w:szCs w:val="20"/>
        </w:rPr>
        <w:t xml:space="preserve">bei der … [Name der Bank]: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310"/>
        <w:gridCol w:w="2310"/>
        <w:gridCol w:w="2310"/>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Versicherungsart</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Kontonummer</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Festgehalten werden muss, dass sämtliche Werte dem Wissenstand
des/der Antragstellers/Antragstellerin entsprechen und
diesbezüglich keinerlei Unterlagen von der/dem Antragsgegner/in
vorgelegt wurden. Der Rückkaufswert wurde dem/der Antragsteller/in
von dem/der Antragsgegener/in mitgeteilt, diesbezügliche Unterlagen
wurden nicht vorgelegt. Laut Auskunft des/der
Antragsgegners/Antragsgegnerin beträgt der anrechenbare
Rückkaufswert EUR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 Ersparnisse</w:t>
      </w:r>
    </w:p>
    <w:p>
      <w:pPr>
        <w:widowControl w:val="on"/>
        <w:pBdr/>
        <w:spacing w:before="140" w:after="240" w:line="288" w:lineRule="auto"/>
        <w:ind w:left="0" w:right="0"/>
        <w:jc w:val="left"/>
      </w:pPr>
      <w:r>
        <w:rPr>
          <w:rFonts w:ascii="Arial" w:hAnsi="Arial" w:eastAsia="Arial" w:cs="Arial"/>
          <w:color w:val="000000"/>
          <w:sz w:val="20"/>
          <w:szCs w:val="20"/>
        </w:rPr>
        <w:t xml:space="preserve">bei der … [Name der Bank]: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310"/>
        <w:gridCol w:w="2310"/>
        <w:gridCol w:w="3015"/>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Sparform</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Kontonummer</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 per … [Datum Stichtag]</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c) Konto</w:t>
      </w:r>
    </w:p>
    <w:p>
      <w:pPr>
        <w:widowControl w:val="on"/>
        <w:pBdr/>
        <w:spacing w:before="140" w:after="240" w:line="288" w:lineRule="auto"/>
        <w:ind w:left="0" w:right="0"/>
        <w:jc w:val="left"/>
      </w:pPr>
      <w:r>
        <w:rPr>
          <w:rFonts w:ascii="Arial" w:hAnsi="Arial" w:eastAsia="Arial" w:cs="Arial"/>
          <w:color w:val="000000"/>
          <w:sz w:val="20"/>
          <w:szCs w:val="20"/>
        </w:rPr>
        <w:t xml:space="preserve">bei der … [Name der Bank]: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310"/>
        <w:gridCol w:w="2310"/>
        <w:gridCol w:w="3015"/>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Kontonummer</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 per … [Datum Stichtag]</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 Kraftfahrzeuge</w:t>
      </w:r>
    </w:p>
    <w:p>
      <w:pPr>
        <w:widowControl w:val="on"/>
        <w:pBdr/>
        <w:spacing w:before="140" w:after="240" w:line="288" w:lineRule="auto"/>
        <w:ind w:left="0" w:right="0"/>
        <w:jc w:val="left"/>
      </w:pPr>
      <w:r>
        <w:rPr>
          <w:rFonts w:ascii="Arial" w:hAnsi="Arial" w:eastAsia="Arial" w:cs="Arial"/>
          <w:color w:val="000000"/>
          <w:sz w:val="20"/>
          <w:szCs w:val="20"/>
        </w:rPr>
        <w:t xml:space="preserve">Der Aufteilung unterliegen folgende Kraftfahrzeuge der
Streitteile:</w:t>
      </w:r>
    </w:p>
    <w:p>
      <w:pPr>
        <w:numPr>
          <w:ilvl w:val="0"/>
          <w:numId w:val="746893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Marke VW Käfer, Baujahr 1952, Wert EUR 8.000,–</w:t>
      </w:r>
    </w:p>
    <w:p>
      <w:pPr>
        <w:numPr>
          <w:ilvl w:val="0"/>
          <w:numId w:val="746893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Marke BMW X1, Baujahr 2013, Wert EUR 28.000,–</w:t>
      </w:r>
    </w:p>
    <w:p>
      <w:pPr>
        <w:numPr>
          <w:ilvl w:val="0"/>
          <w:numId w:val="746893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Marke VW Polo, Baujahr 2006, Wert EUR 7.000,–</w:t>
      </w:r>
    </w:p>
    <w:p>
      <w:pPr>
        <w:widowControl w:val="on"/>
        <w:pBdr/>
        <w:spacing w:before="140" w:after="240" w:line="288" w:lineRule="auto"/>
        <w:ind w:left="0" w:right="0"/>
        <w:jc w:val="left"/>
      </w:pPr>
      <w:r>
        <w:rPr>
          <w:rFonts w:ascii="Arial" w:hAnsi="Arial" w:eastAsia="Arial" w:cs="Arial"/>
          <w:color w:val="000000"/>
          <w:sz w:val="20"/>
          <w:szCs w:val="20"/>
        </w:rPr>
        <w:t xml:space="preserve">Aus der Aufteilung der genannten Kraftfahrzeuge beansprucht
der/die Antragsteller/in den hälftigen Verkehrswert dieser
Fahrzeuge.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Einzuholendes Sachverständigengutachten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 Aufteilung des ehelichen Hausrates</w:t>
      </w:r>
    </w:p>
    <w:p>
      <w:pPr>
        <w:widowControl w:val="on"/>
        <w:pBdr/>
        <w:spacing w:before="140" w:after="240" w:line="288" w:lineRule="auto"/>
        <w:ind w:left="0" w:right="0"/>
        <w:jc w:val="left"/>
      </w:pPr>
      <w:r>
        <w:rPr>
          <w:rFonts w:ascii="Arial" w:hAnsi="Arial" w:eastAsia="Arial" w:cs="Arial"/>
          <w:color w:val="000000"/>
          <w:sz w:val="20"/>
          <w:szCs w:val="20"/>
        </w:rPr>
        <w:t xml:space="preserve">Aus der vormals ehelichen Wohnung beansprucht der/die
Antragsteller/in seine/ihre noch verbliebenen rein persönlichen
Fahrnisse, sowie sämtliche von ihm/ihr allein bezahlten
Einrichtungsgegenstände, welche die Wohnzimmereinrichtung und
weiters die Küche umfassen.</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würde das gemalte Wandbild „Seeblick“
sowie den antiken Schrank, welcher sich gegenwärtig im Vorzimmer
befindet, dem/der Antragsteller/in überlassen, insoweit das
Einvernehmen in der Aufteilung, unter anderem im Hinblick auf den
sonstigen ehelichen Hausrat, wie etwa Geschirr und Waschmaschine,
herzustellen ist.</w:t>
      </w:r>
    </w:p>
    <w:p>
      <w:pPr>
        <w:widowControl w:val="on"/>
        <w:pBdr/>
        <w:spacing w:before="140" w:after="240" w:line="288" w:lineRule="auto"/>
        <w:ind w:left="0" w:right="0"/>
        <w:jc w:val="left"/>
      </w:pPr>
      <w:r>
        <w:rPr>
          <w:rFonts w:ascii="Arial" w:hAnsi="Arial" w:eastAsia="Arial" w:cs="Arial"/>
          <w:color w:val="000000"/>
          <w:sz w:val="20"/>
          <w:szCs w:val="20"/>
        </w:rPr>
        <w:t xml:space="preserve">Zusammengefasst beträgt die </w:t>
      </w:r>
      <w:r>
        <w:rPr>
          <w:rFonts w:ascii="Arial" w:hAnsi="Arial" w:eastAsia="Arial" w:cs="Arial"/>
          <w:b/>
          <w:bCs/>
          <w:color w:val="000000"/>
          <w:sz w:val="20"/>
          <w:szCs w:val="20"/>
        </w:rPr>
        <w:t xml:space="preserve">Summe der vorhandenen
Aktiva</w:t>
      </w:r>
      <w:r>
        <w:rPr>
          <w:rFonts w:ascii="Arial" w:hAnsi="Arial" w:eastAsia="Arial" w:cs="Arial"/>
          <w:color w:val="000000"/>
          <w:sz w:val="20"/>
          <w:szCs w:val="20"/>
        </w:rPr>
        <w:t xml:space="preserve">, anhand des Wissensstandes des/der
Antragstellers/-stellerin </w:t>
      </w:r>
      <w:r>
        <w:rPr>
          <w:rFonts w:ascii="Arial" w:hAnsi="Arial" w:eastAsia="Arial" w:cs="Arial"/>
          <w:b/>
          <w:bCs/>
          <w:color w:val="000000"/>
          <w:sz w:val="20"/>
          <w:szCs w:val="20"/>
        </w:rPr>
        <w:t xml:space="preserve">EUR … [Summe]</w:t>
      </w:r>
      <w:r>
        <w:rPr>
          <w:rFonts w:ascii="Arial" w:hAnsi="Arial" w:eastAsia="Arial" w:cs="Arial"/>
          <w:color w:val="000000"/>
          <w:sz w:val="20"/>
          <w:szCs w:val="20"/>
        </w:rPr>
        <w:t xml:space="preserv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f) Verbindlichkeiten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Festgehalten wird, dass keine gemeinsamen Verbindlichkeiten der
Streitteile bestehen.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b/>
          <w:bCs/>
          <w:color w:val="277DB9"/>
          <w:sz w:val="20"/>
          <w:szCs w:val="20"/>
        </w:rPr>
        <w:t xml:space="preserve">Girokonto der Streitteile bei der … [Bank,
IBAN]:</w:t>
      </w:r>
      <w:r>
        <w:rPr>
          <w:rFonts w:ascii="Arial" w:hAnsi="Arial" w:eastAsia="Arial" w:cs="Arial"/>
          <w:color w:val="277DB9"/>
          <w:sz w:val="20"/>
          <w:szCs w:val="20"/>
        </w:rPr>
        <w:br/>
        <w:t xml:space="preserve">Das Girokonto bei der … [Bank], bei welchem sowohl die
Antragsgegnerin als auch der Antragsteller getrennt
zeichnungsberechtigt waren, wies per … [Aufteilungsstichtag] einen
Minussaldo in Höhe von … [Summe] auf.</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PV</w:t>
            </w:r>
            <w:r>
              <w:rPr>
                <w:rFonts w:ascii="Arial" w:hAnsi="Arial" w:eastAsia="Arial" w:cs="Arial"/>
                <w:color w:val="277DB9"/>
                <w:position w:val="0"/>
                <w:sz w:val="20"/>
                <w:szCs w:val="20"/>
                <w:shd w:val="clear" w:color="auto" w:fill="FFFFFF"/>
              </w:rPr>
              <w:br/>
              <w:t xml:space="preserve">Noch vorzulegender Kontoauszug</w:t>
            </w:r>
            <w:r>
              <w:rPr>
                <w:rFonts w:ascii="Arial" w:hAnsi="Arial" w:eastAsia="Arial" w:cs="Arial"/>
                <w:color w:val="277DB9"/>
                <w:position w:val="0"/>
                <w:sz w:val="20"/>
                <w:szCs w:val="20"/>
                <w:shd w:val="clear" w:color="auto" w:fill="FFFFFF"/>
              </w:rPr>
              <w:br/>
              <w:t xml:space="preserve">Weitere Beweise und Vorbringen ausdrücklich vorbehalten</w:t>
            </w:r>
          </w:p>
        </w:tc>
      </w:tr>
    </w:tbl>
    <w:p>
      <w:pPr>
        <w:widowControl w:val="on"/>
        <w:pBdr/>
        <w:spacing w:before="140" w:after="240" w:line="288" w:lineRule="auto"/>
        <w:ind w:left="0" w:right="0"/>
        <w:jc w:val="left"/>
      </w:pPr>
      <w:r>
        <w:rPr>
          <w:rFonts w:ascii="Arial" w:hAnsi="Arial" w:eastAsia="Arial" w:cs="Arial"/>
          <w:b/>
          <w:bCs/>
          <w:color w:val="277DB9"/>
          <w:sz w:val="20"/>
          <w:szCs w:val="20"/>
        </w:rPr>
        <w:t xml:space="preserve">Kredite während aufrechter Ehe der
Streitteile:</w:t>
      </w:r>
    </w:p>
    <w:p>
      <w:pPr>
        <w:widowControl w:val="on"/>
        <w:pBdr/>
        <w:spacing w:before="140" w:after="240" w:line="288" w:lineRule="auto"/>
        <w:ind w:left="0" w:right="0"/>
        <w:jc w:val="left"/>
      </w:pPr>
      <w:r>
        <w:rPr>
          <w:rFonts w:ascii="Arial" w:hAnsi="Arial" w:eastAsia="Arial" w:cs="Arial"/>
          <w:b/>
          <w:bCs/>
          <w:color w:val="277DB9"/>
          <w:sz w:val="20"/>
          <w:szCs w:val="20"/>
        </w:rPr>
        <w:t xml:space="preserve">Kredit bei der … [Bank]:</w:t>
      </w:r>
      <w:r>
        <w:rPr>
          <w:rFonts w:ascii="Arial" w:hAnsi="Arial" w:eastAsia="Arial" w:cs="Arial"/>
          <w:color w:val="277DB9"/>
          <w:sz w:val="20"/>
          <w:szCs w:val="20"/>
        </w:rPr>
        <w:br/>
        <w:t xml:space="preserve">Während aufrechter Ehe nahm der Antragsteller im … [Datum bzw Jahr]
zur Finanzierung der/des … [Liegenschaft, ehelichen
Gebrauchsvermögens] bei der … [Bank] eine Zwischenfinanzierung in
Höhe von … [Summe] auf.</w:t>
      </w:r>
    </w:p>
    <w:p>
      <w:pPr>
        <w:widowControl w:val="on"/>
        <w:pBdr/>
        <w:spacing w:before="140" w:after="240" w:line="288" w:lineRule="auto"/>
        <w:ind w:left="0" w:right="0"/>
        <w:jc w:val="left"/>
      </w:pPr>
      <w:r>
        <w:rPr>
          <w:rFonts w:ascii="Arial" w:hAnsi="Arial" w:eastAsia="Arial" w:cs="Arial"/>
          <w:color w:val="277DB9"/>
          <w:sz w:val="20"/>
          <w:szCs w:val="20"/>
        </w:rPr>
        <w:t xml:space="preserve">Dieser Kredit haftete per Aufteilungsstichtag … [Datum bzw Jahr]
mit EUR … unberichtigt aus.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PV</w:t>
            </w:r>
            <w:r>
              <w:rPr>
                <w:rFonts w:ascii="Arial" w:hAnsi="Arial" w:eastAsia="Arial" w:cs="Arial"/>
                <w:color w:val="277DB9"/>
                <w:position w:val="0"/>
                <w:sz w:val="20"/>
                <w:szCs w:val="20"/>
                <w:shd w:val="clear" w:color="auto" w:fill="FFFFFF"/>
              </w:rPr>
              <w:br/>
              <w:t xml:space="preserve">Vorzulegende Kreditunterlagen</w:t>
            </w:r>
            <w:r>
              <w:rPr>
                <w:rFonts w:ascii="Arial" w:hAnsi="Arial" w:eastAsia="Arial" w:cs="Arial"/>
                <w:color w:val="277DB9"/>
                <w:position w:val="0"/>
                <w:sz w:val="20"/>
                <w:szCs w:val="20"/>
                <w:shd w:val="clear" w:color="auto" w:fill="FFFFFF"/>
              </w:rPr>
              <w:br/>
              <w:t xml:space="preserve">Weitere Beweise und Vorbringen ausdrücklich vorbehalten</w:t>
            </w:r>
          </w:p>
        </w:tc>
      </w:tr>
    </w:tbl>
    <w:p>
      <w:pPr>
        <w:widowControl w:val="on"/>
        <w:pBdr/>
        <w:spacing w:before="140" w:after="240" w:line="288" w:lineRule="auto"/>
        <w:ind w:left="0" w:right="0"/>
        <w:jc w:val="left"/>
      </w:pPr>
      <w:r>
        <w:rPr>
          <w:rFonts w:ascii="Arial" w:hAnsi="Arial" w:eastAsia="Arial" w:cs="Arial"/>
          <w:b/>
          <w:bCs/>
          <w:color w:val="277DB9"/>
          <w:sz w:val="20"/>
          <w:szCs w:val="20"/>
        </w:rPr>
        <w:t xml:space="preserve">Kredit bei der … [Bank]:</w:t>
      </w:r>
      <w:r>
        <w:rPr>
          <w:rFonts w:ascii="Arial" w:hAnsi="Arial" w:eastAsia="Arial" w:cs="Arial"/>
          <w:color w:val="277DB9"/>
          <w:sz w:val="20"/>
          <w:szCs w:val="20"/>
        </w:rPr>
        <w:br/>
        <w:t xml:space="preserve">Im … [Jahr] nahm der Antragsteller einen Kredit bei der … [Bank] in
Höhe von … [Summe] zur Finanzierung der Mietwohnung … [Adresse]
auf, welche in weiterer Folge als Ehewohnung diente.</w:t>
      </w:r>
    </w:p>
    <w:p>
      <w:pPr>
        <w:widowControl w:val="on"/>
        <w:pBdr/>
        <w:spacing w:before="140" w:after="240" w:line="288" w:lineRule="auto"/>
        <w:ind w:left="0" w:right="0"/>
        <w:jc w:val="left"/>
      </w:pPr>
      <w:r>
        <w:rPr>
          <w:rFonts w:ascii="Arial" w:hAnsi="Arial" w:eastAsia="Arial" w:cs="Arial"/>
          <w:color w:val="277DB9"/>
          <w:sz w:val="20"/>
          <w:szCs w:val="20"/>
        </w:rPr>
        <w:t xml:space="preserve">Bei dieser Wohnung handelte es sich um eine Mietwohnung. Der
Antragsteller musste den Vormietern eine Ablöse für … [Gegenstände
aufzählen] bezahlen oder der Antragsteller musste eine
Maklerprovision in Höhe von … [Summe] zahlen. Der restliche Betrag
wurde für die Einrichtung der Mietwohnung verwendet.</w:t>
      </w:r>
    </w:p>
    <w:p>
      <w:pPr>
        <w:widowControl w:val="on"/>
        <w:pBdr/>
        <w:spacing w:before="140" w:after="240" w:line="288" w:lineRule="auto"/>
        <w:ind w:left="0" w:right="0"/>
        <w:jc w:val="left"/>
      </w:pPr>
      <w:r>
        <w:rPr>
          <w:rFonts w:ascii="Arial" w:hAnsi="Arial" w:eastAsia="Arial" w:cs="Arial"/>
          <w:color w:val="277DB9"/>
          <w:sz w:val="20"/>
          <w:szCs w:val="20"/>
        </w:rPr>
        <w:t xml:space="preserve">Am … [Datum] haftete der Kredit per Aufteilungsstichtag mit …
[Summe] unberichtigt aus.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PV</w:t>
            </w:r>
            <w:r>
              <w:rPr>
                <w:rFonts w:ascii="Arial" w:hAnsi="Arial" w:eastAsia="Arial" w:cs="Arial"/>
                <w:color w:val="277DB9"/>
                <w:position w:val="0"/>
                <w:sz w:val="20"/>
                <w:szCs w:val="20"/>
                <w:shd w:val="clear" w:color="auto" w:fill="FFFFFF"/>
              </w:rPr>
              <w:br/>
              <w:t xml:space="preserve">Vorzulegende Kreditunterlagen</w:t>
            </w:r>
            <w:r>
              <w:rPr>
                <w:rFonts w:ascii="Arial" w:hAnsi="Arial" w:eastAsia="Arial" w:cs="Arial"/>
                <w:color w:val="277DB9"/>
                <w:position w:val="0"/>
                <w:sz w:val="20"/>
                <w:szCs w:val="20"/>
                <w:shd w:val="clear" w:color="auto" w:fill="FFFFFF"/>
              </w:rPr>
              <w:br/>
              <w:t xml:space="preserve">Weitere Beweise und Vorbringen ausdrücklich vorbehalten</w:t>
            </w:r>
          </w:p>
        </w:tc>
      </w:tr>
    </w:tbl>
    <w:p>
      <w:pPr>
        <w:widowControl w:val="on"/>
        <w:pBdr/>
        <w:spacing w:before="140" w:after="240" w:line="288" w:lineRule="auto"/>
        <w:ind w:left="0" w:right="0"/>
        <w:jc w:val="left"/>
      </w:pPr>
      <w:r>
        <w:rPr>
          <w:rFonts w:ascii="Arial" w:hAnsi="Arial" w:eastAsia="Arial" w:cs="Arial"/>
          <w:color w:val="277DB9"/>
          <w:sz w:val="20"/>
          <w:szCs w:val="20"/>
        </w:rPr>
        <w:t xml:space="preserve">Zum Zeitpunkt der Aufhebung der ehelichen Lebensgemeinschaft im
… [Jahr] haftete aus diesen Krediten … [bei den Banken] sohin ein
Gesamtbetrag in Höhe … [Summe] unberichtigt aus.</w:t>
      </w:r>
    </w:p>
    <w:p>
      <w:pPr>
        <w:widowControl w:val="on"/>
        <w:pBdr/>
        <w:spacing w:before="140" w:after="240" w:line="288" w:lineRule="auto"/>
        <w:ind w:left="0" w:right="0"/>
        <w:jc w:val="left"/>
      </w:pPr>
      <w:r>
        <w:rPr>
          <w:rFonts w:ascii="Arial" w:hAnsi="Arial" w:eastAsia="Arial" w:cs="Arial"/>
          <w:color w:val="277DB9"/>
          <w:sz w:val="20"/>
          <w:szCs w:val="20"/>
        </w:rPr>
        <w:t xml:space="preserve">An vorehelichen Schulden entfallen aus diesem Betrag rund …
[EUR], die restlichen Schulden aus diesen Kreditverhältnissen in
der Höhe von … [EUR], stehen mit dem ehelichen Gebrauchsvermögen
und den ehelichen Ersparnissen in einem inneren Zusammenhang und
hängen mit dem ehelichen Lebensaufwand der Streitteile
zusammen.</w:t>
      </w:r>
    </w:p>
    <w:p>
      <w:pPr>
        <w:widowControl w:val="on"/>
        <w:pBdr/>
        <w:spacing w:before="140" w:after="240" w:line="288" w:lineRule="auto"/>
        <w:ind w:left="0" w:right="0"/>
        <w:jc w:val="left"/>
      </w:pPr>
      <w:r>
        <w:rPr>
          <w:rFonts w:ascii="Arial" w:hAnsi="Arial" w:eastAsia="Arial" w:cs="Arial"/>
          <w:color w:val="277DB9"/>
          <w:sz w:val="20"/>
          <w:szCs w:val="20"/>
        </w:rPr>
        <w:t xml:space="preserve">Die Antragsgegnerin hat daher die Hälfte der zum Zeitpunkt der
Aufhebung im … [Jahr] bestehenden ehelichen Verbindlichkeiten zu
tragen.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Streitteile haben im Zuge des Scheidungsverfahrens auch
Vergleichsgespräche bzw Korrespondenz bezüglich einer
einvernehmlichen Scheidung geführt.</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hat den/die Antragsgegner/in durch
seine Rechtsvertreterin ersucht, entsprechende
Kontoauszüge/Rückkaufswerte/Unterlagen der oben genannten
Vermögenswerte zu übermitteln, da die ihm vorliegenden Unterlagen
großteils veraltet/unvollständig waren.</w:t>
      </w:r>
    </w:p>
    <w:p>
      <w:pPr>
        <w:widowControl w:val="on"/>
        <w:pBdr/>
        <w:spacing w:before="140" w:after="240" w:line="288" w:lineRule="auto"/>
        <w:ind w:left="0" w:right="0"/>
        <w:jc w:val="left"/>
      </w:pPr>
      <w:r>
        <w:rPr>
          <w:rFonts w:ascii="Arial" w:hAnsi="Arial" w:eastAsia="Arial" w:cs="Arial"/>
          <w:color w:val="000000"/>
          <w:sz w:val="20"/>
          <w:szCs w:val="20"/>
        </w:rPr>
        <w:t xml:space="preserve">Diesem Ersuchen ist der/die Antragsgegner/in nicht vollständig
nachgekommen, sondern hat nur teilweise Auskünfte erteilt/keine
Unterlagen vorgelegt/behauptet, der Großteil der Vermögenswerte
unterliege aus diversen nicht näher nachvollziehbaren Gründen nicht
der Aufteilung.</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dass der/die Antragsgegner/in auch im
gegenständlichen Verfahren keine Unterlagen zu den unter Punkt III.
angeführten Vermögenswerten vorlegt, behält sich der/die
Antragsteller/in ausdrücklich den Antrag vor, dem/der
Antragsgegner/in aufzutragen, zu den aufgezählten Vermögenswerte
die Rückkaufswerte/Konto/Sparbuchauszüge und dergleichen
vorzulegen.</w:t>
      </w:r>
    </w:p>
    <w:p>
      <w:pPr>
        <w:widowControl w:val="on"/>
        <w:pBdr/>
        <w:spacing w:before="140" w:after="240" w:line="288" w:lineRule="auto"/>
        <w:ind w:left="0" w:right="0"/>
        <w:jc w:val="left"/>
      </w:pPr>
      <w:r>
        <w:rPr>
          <w:rFonts w:ascii="Arial" w:hAnsi="Arial" w:eastAsia="Arial" w:cs="Arial"/>
          <w:color w:val="000000"/>
          <w:sz w:val="20"/>
          <w:szCs w:val="20"/>
        </w:rPr>
        <w:t xml:space="preserve">Weiters wird ausdrücklich der Antrag, dem/der Antragsgegner/in
sollte ein Auftrag zur eidlichen Vermögensbekanntgabe erteilt
werden, vorbehalten.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Weitere Beweise und Anträge ausdrücklich vorbehalten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Wert der oben angeführten Vermögensbestandteile beträgt
sohin gesamt … [Summe], mit welchem der Antragsteller den
Streitgegenstand des Aufteilungsverfahrens bewertet.</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stellt aufgrund dieser Umstände und
mangels Einigung in Güte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Bezirksgericht … [Name] möge gem der §§ 81 ff EheG die
Aufteilung in der Art und Weise vornehmen, das
Liegenschaftsvermögen sowie die ehelichen Ersparnisse/das eheliche
Gebrauchsvermögen im Verhältnis 1:1 aufzuteilen, wobei folgender
Aufteilungsvorschlag erstattet wird:</w:t>
      </w:r>
    </w:p>
    <w:p>
      <w:pPr>
        <w:numPr>
          <w:ilvl w:val="0"/>
          <w:numId w:val="689820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Dem/Der Antragsgegner/in verbleibt die eheliche Liegenschaft im
Ausmaß der ihm/ihr gehörigen … Anteile … [Bezeichnung], mit der
Liegenschaftsadresse … [Adresse].</w:t>
      </w:r>
    </w:p>
    <w:p>
      <w:pPr>
        <w:numPr>
          <w:ilvl w:val="0"/>
          <w:numId w:val="689820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Antragsgegner/in wird verpflichtet, dem/der
Antragsteller/in eine angemessene Ausgleichszahlung für die Aufgabe
des ehelichen Gebrauchsvermögens und der ehelichen Ersparnisse zu
leisten, welche sich auf Basis 50:50 der vorhandenen Vermögenswerte
errechnet.</w:t>
      </w:r>
    </w:p>
    <w:p>
      <w:pPr>
        <w:numPr>
          <w:ilvl w:val="0"/>
          <w:numId w:val="689820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Dem/Der Antragsgegner/in möge der Ersatz der gesamten Kosten
des gegenständlichen Verfahrens zu Handen des/der
Rechtsvertreters/-vertreterin des/der Antragsteller/in binnen 14
Tagen bei sonstiger Exekution auferlegt werden.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hält der/die Antragsteller/in fest, dass eine
umfassende Aufteilung des ehelichen Gebrauchsvermögens und der
ehelichen Ersparnisse beantragt wird und er/sie sich im Sinne der
Judikatur zu § 95 EheG vorbehält, im Hinblick auf die realen
Ergebnisse des Aufteilungsverfahrens auch erst in einem späteren
Verfahrensstadium sein/ihr Begehren auszudehnen, zu präzisieren
oder zu modifizieren.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 Antrag auf Rechnungslegung</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stellt daher weiter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dem/der Antragsteller/in aufzutragen, dahingehend Rechnung zu
legen,</w:t>
      </w:r>
    </w:p>
    <w:p>
      <w:pPr>
        <w:numPr>
          <w:ilvl w:val="0"/>
          <w:numId w:val="57139834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die von ihm/ihr bei der Bank … [Bezeichnung] unterhaltenen
(Spar-)Konten,</w:t>
      </w:r>
    </w:p>
    <w:p>
      <w:pPr>
        <w:numPr>
          <w:ilvl w:val="0"/>
          <w:numId w:val="57139834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den Wert seiner/ihrer Beteiligungen … [Bezeichnung] und
seines/ihres sonstigen Aktivvermögens.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des/der Antragstellers/Antragstellerin]</w:t>
      </w:r>
    </w:p>
    <w:tbl>
      <w:tblPr>
        <w:tblStyle w:val="NormalTablePHPDOCX"/>
        <w:tblW w:w="13065" w:type="dxa"/>
        <w:tblInd w:w="0" w:type="auto"/>
        <w:tblBorders>
          <w:top w:val="single" w:color="000000" w:sz="2"/>
          <w:left w:val="single" w:color="000000" w:sz="2"/>
          <w:bottom w:val="single" w:color="000000" w:sz="2"/>
          <w:right w:val="single" w:color="000000" w:sz="2"/>
        </w:tblBorders>
      </w:tblPr>
      <w:tblGrid>
        <w:gridCol w:w="10095"/>
        <w:gridCol w:w="1260"/>
        <w:gridCol w:w="1710"/>
      </w:tblGrid>
      <w:tr>
        <w:trPr>
          <w:trHeight w:val="0" w:hRule="atLeast"/>
        </w:trPr>
        <w:tc>
          <w:tcPr>
            <w:tcW w:w="13065" w:type="dxa"/>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nach TP 3A</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 ES</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PG</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320,00</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 §§ 81 ff EheG normieren keinen Antrag auf
Rechnungslegung, sondern nur einen Anspruch auf Aufteilung. Im
Aufteilungsverfahren ist jedoch die Anwendung des Art XLII
Abs 1 Fall 2 EGZPO zulässig, wobei es sich bei dem darauf
gestützten Antrag nicht um einen bloßen Erkundungsbeweis handeln
darf.</w:t>
      </w:r>
    </w:p>
    <w:p>
      <w:pPr>
        <w:widowControl w:val="on"/>
        <w:pBdr/>
        <w:spacing w:before="140" w:after="240" w:line="288" w:lineRule="auto"/>
        <w:ind w:left="0" w:right="0"/>
        <w:jc w:val="left"/>
      </w:pPr>
      <w:r>
        <w:rPr>
          <w:rFonts w:ascii="Arial" w:hAnsi="Arial" w:eastAsia="Arial" w:cs="Arial"/>
          <w:color w:val="000000"/>
          <w:sz w:val="20"/>
          <w:szCs w:val="20"/>
        </w:rPr>
        <w:t xml:space="preserve">Vorbringen zu Antrag auf Auskunftsanspruch:</w:t>
      </w:r>
    </w:p>
    <w:p>
      <w:pPr>
        <w:widowControl w:val="on"/>
        <w:pBdr/>
        <w:spacing w:before="140" w:after="240" w:line="288" w:lineRule="auto"/>
        <w:ind w:left="0" w:right="0"/>
        <w:jc w:val="left"/>
      </w:pPr>
      <w:r>
        <w:rPr>
          <w:rFonts w:ascii="Arial" w:hAnsi="Arial" w:eastAsia="Arial" w:cs="Arial"/>
          <w:color w:val="000000"/>
          <w:sz w:val="20"/>
          <w:szCs w:val="20"/>
        </w:rPr>
        <w:t xml:space="preserve">Art XLII Abs 1 EGZPO findet im Aufteilungsverfahren
unter der Voraussetzung, dass Vermögen verheimlicht oder
verschwiegen wird, Anwendung.</w:t>
      </w:r>
    </w:p>
    <w:p>
      <w:pPr>
        <w:widowControl w:val="on"/>
        <w:pBdr/>
        <w:spacing w:before="140" w:after="240" w:line="288" w:lineRule="auto"/>
        <w:ind w:left="0" w:right="0"/>
        <w:jc w:val="left"/>
      </w:pPr>
      <w:r>
        <w:rPr>
          <w:rFonts w:ascii="Arial" w:hAnsi="Arial" w:eastAsia="Arial" w:cs="Arial"/>
          <w:color w:val="000000"/>
          <w:sz w:val="20"/>
          <w:szCs w:val="20"/>
        </w:rPr>
        <w:t xml:space="preserve">Dem Antragsteller ist das genaue Einkommen bzw während der Ehe
erwirtschaftete Vermögen nicht bekannt.</w:t>
      </w:r>
    </w:p>
    <w:p>
      <w:pPr>
        <w:widowControl w:val="on"/>
        <w:pBdr/>
        <w:spacing w:before="140" w:after="240" w:line="288" w:lineRule="auto"/>
        <w:ind w:left="0" w:right="0"/>
        <w:jc w:val="left"/>
      </w:pPr>
      <w:r>
        <w:rPr>
          <w:rFonts w:ascii="Arial" w:hAnsi="Arial" w:eastAsia="Arial" w:cs="Arial"/>
          <w:color w:val="000000"/>
          <w:sz w:val="20"/>
          <w:szCs w:val="20"/>
        </w:rPr>
        <w:t xml:space="preserve">Die Antragsgegnerin verweigerte dem Antragsteller bereits
während aufrechter Ehe ausdrücklich die Auskunft über das konkrete
Familieneinkommen und Familienvermögen und ergibt sich darüber
hinaus aus dem Umstand …, dass sie eheliche Ersparnisse einseitig
verringert hat und darüber hinaus versucht, eheliches Vermögen zu
verheimlichen. Es ist sohin nicht nur zu befürchten, sondern
anzunehmen, dass die Antragsgegnerin Vermögenswerte der
nachehelichen Aufteilung im Zeitraum zwischen Aufteilungsstichtag …
und zwei Jahre zuvor ohne Zustimmung des Antragstellers entzogen
und in einer Weise verringert hat, die der Gestaltung der
Lebensverhältnisse der Ehegatten während der ehelichen
Lebensgemeinschaft widerspricht, weshalb diese Werte des Fehlenden
gem § 91 Abs 1 EheG in die Aufteilung einzubeziehen
sind.</w:t>
      </w:r>
    </w:p>
    <w:p>
      <w:pPr>
        <w:widowControl w:val="on"/>
        <w:pBdr/>
        <w:spacing w:before="140" w:after="240" w:line="288" w:lineRule="auto"/>
        <w:ind w:left="0" w:right="0"/>
        <w:jc w:val="left"/>
      </w:pPr>
      <w:r>
        <w:rPr>
          <w:rFonts w:ascii="Arial" w:hAnsi="Arial" w:eastAsia="Arial" w:cs="Arial"/>
          <w:color w:val="000000"/>
          <w:sz w:val="20"/>
          <w:szCs w:val="20"/>
        </w:rPr>
        <w:t xml:space="preserve">Diese Befürchtung ergibt sich auch aus dem Umstand, dass sie dem
Antragsteller trotz mehrfacher Nachfrage hinsichtlich ihrer
Einkommens- und Vermögensverhältnisse, insbesondere ihrer
Ersparnisse, stets im Unklaren ließ.</w:t>
      </w:r>
    </w:p>
    <w:p>
      <w:pPr>
        <w:widowControl w:val="on"/>
        <w:pBdr/>
        <w:spacing w:before="140" w:after="240" w:line="288" w:lineRule="auto"/>
        <w:ind w:left="0" w:right="0"/>
        <w:jc w:val="left"/>
      </w:pPr>
      <w:r>
        <w:rPr>
          <w:rFonts w:ascii="Arial" w:hAnsi="Arial" w:eastAsia="Arial" w:cs="Arial"/>
          <w:color w:val="000000"/>
          <w:sz w:val="20"/>
          <w:szCs w:val="20"/>
        </w:rPr>
        <w:t xml:space="preserve">Bis heute hat die Antragsgegnerin das genaue Einkommen nicht
offengelegt. Die Antragsgegnerin war und ist sohin offenkundig
nicht bereit, über ihre tatsächlichen Einkommens- und
Vermögensverhältnisse vollständig und lückenlos Aufklärung zu
leisten, weshalb sich der Antragsteller in Ungewissheit über das
vermögensmäßige Ergebnis befindet und zur gegenständlichen
Antragstellung gezwungen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39834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8982064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4689304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430956">
    <w:multiLevelType w:val="hybridMultilevel"/>
    <w:lvl w:ilvl="0" w:tplc="50060151">
      <w:start w:val="1"/>
      <w:numFmt w:val="decimal"/>
      <w:lvlText w:val="%1."/>
      <w:lvlJc w:val="left"/>
      <w:pPr>
        <w:ind w:left="720" w:hanging="360"/>
      </w:pPr>
    </w:lvl>
    <w:lvl w:ilvl="1" w:tplc="50060151" w:tentative="1">
      <w:start w:val="1"/>
      <w:numFmt w:val="lowerLetter"/>
      <w:lvlText w:val="%2."/>
      <w:lvlJc w:val="left"/>
      <w:pPr>
        <w:ind w:left="1440" w:hanging="360"/>
      </w:pPr>
    </w:lvl>
    <w:lvl w:ilvl="2" w:tplc="50060151" w:tentative="1">
      <w:start w:val="1"/>
      <w:numFmt w:val="lowerRoman"/>
      <w:lvlText w:val="%3."/>
      <w:lvlJc w:val="right"/>
      <w:pPr>
        <w:ind w:left="2160" w:hanging="180"/>
      </w:pPr>
    </w:lvl>
    <w:lvl w:ilvl="3" w:tplc="50060151" w:tentative="1">
      <w:start w:val="1"/>
      <w:numFmt w:val="decimal"/>
      <w:lvlText w:val="%4."/>
      <w:lvlJc w:val="left"/>
      <w:pPr>
        <w:ind w:left="2880" w:hanging="360"/>
      </w:pPr>
    </w:lvl>
    <w:lvl w:ilvl="4" w:tplc="50060151" w:tentative="1">
      <w:start w:val="1"/>
      <w:numFmt w:val="lowerLetter"/>
      <w:lvlText w:val="%5."/>
      <w:lvlJc w:val="left"/>
      <w:pPr>
        <w:ind w:left="3600" w:hanging="360"/>
      </w:pPr>
    </w:lvl>
    <w:lvl w:ilvl="5" w:tplc="50060151" w:tentative="1">
      <w:start w:val="1"/>
      <w:numFmt w:val="lowerRoman"/>
      <w:lvlText w:val="%6."/>
      <w:lvlJc w:val="right"/>
      <w:pPr>
        <w:ind w:left="4320" w:hanging="180"/>
      </w:pPr>
    </w:lvl>
    <w:lvl w:ilvl="6" w:tplc="50060151" w:tentative="1">
      <w:start w:val="1"/>
      <w:numFmt w:val="decimal"/>
      <w:lvlText w:val="%7."/>
      <w:lvlJc w:val="left"/>
      <w:pPr>
        <w:ind w:left="5040" w:hanging="360"/>
      </w:pPr>
    </w:lvl>
    <w:lvl w:ilvl="7" w:tplc="50060151" w:tentative="1">
      <w:start w:val="1"/>
      <w:numFmt w:val="lowerLetter"/>
      <w:lvlText w:val="%8."/>
      <w:lvlJc w:val="left"/>
      <w:pPr>
        <w:ind w:left="5760" w:hanging="360"/>
      </w:pPr>
    </w:lvl>
    <w:lvl w:ilvl="8" w:tplc="50060151" w:tentative="1">
      <w:start w:val="1"/>
      <w:numFmt w:val="lowerRoman"/>
      <w:lvlText w:val="%9."/>
      <w:lvlJc w:val="right"/>
      <w:pPr>
        <w:ind w:left="6480" w:hanging="180"/>
      </w:pPr>
    </w:lvl>
  </w:abstractNum>
  <w:abstractNum w:abstractNumId="25430955">
    <w:multiLevelType w:val="hybridMultilevel"/>
    <w:lvl w:ilvl="0" w:tplc="26822589">
      <w:start w:val="1"/>
      <w:numFmt w:val="decimal"/>
      <w:lvlText w:val="%1."/>
      <w:lvlJc w:val="left"/>
      <w:pPr>
        <w:ind w:left="720" w:hanging="360"/>
      </w:pPr>
    </w:lvl>
    <w:lvl w:ilvl="1" w:tplc="26822589" w:tentative="1">
      <w:start w:val="1"/>
      <w:numFmt w:val="lowerLetter"/>
      <w:lvlText w:val="%2."/>
      <w:lvlJc w:val="left"/>
      <w:pPr>
        <w:ind w:left="1440" w:hanging="360"/>
      </w:pPr>
    </w:lvl>
    <w:lvl w:ilvl="2" w:tplc="26822589" w:tentative="1">
      <w:start w:val="1"/>
      <w:numFmt w:val="lowerRoman"/>
      <w:lvlText w:val="%3."/>
      <w:lvlJc w:val="right"/>
      <w:pPr>
        <w:ind w:left="2160" w:hanging="180"/>
      </w:pPr>
    </w:lvl>
    <w:lvl w:ilvl="3" w:tplc="26822589" w:tentative="1">
      <w:start w:val="1"/>
      <w:numFmt w:val="decimal"/>
      <w:lvlText w:val="%4."/>
      <w:lvlJc w:val="left"/>
      <w:pPr>
        <w:ind w:left="2880" w:hanging="360"/>
      </w:pPr>
    </w:lvl>
    <w:lvl w:ilvl="4" w:tplc="26822589" w:tentative="1">
      <w:start w:val="1"/>
      <w:numFmt w:val="lowerLetter"/>
      <w:lvlText w:val="%5."/>
      <w:lvlJc w:val="left"/>
      <w:pPr>
        <w:ind w:left="3600" w:hanging="360"/>
      </w:pPr>
    </w:lvl>
    <w:lvl w:ilvl="5" w:tplc="26822589" w:tentative="1">
      <w:start w:val="1"/>
      <w:numFmt w:val="lowerRoman"/>
      <w:lvlText w:val="%6."/>
      <w:lvlJc w:val="right"/>
      <w:pPr>
        <w:ind w:left="4320" w:hanging="180"/>
      </w:pPr>
    </w:lvl>
    <w:lvl w:ilvl="6" w:tplc="26822589" w:tentative="1">
      <w:start w:val="1"/>
      <w:numFmt w:val="decimal"/>
      <w:lvlText w:val="%7."/>
      <w:lvlJc w:val="left"/>
      <w:pPr>
        <w:ind w:left="5040" w:hanging="360"/>
      </w:pPr>
    </w:lvl>
    <w:lvl w:ilvl="7" w:tplc="26822589" w:tentative="1">
      <w:start w:val="1"/>
      <w:numFmt w:val="lowerLetter"/>
      <w:lvlText w:val="%8."/>
      <w:lvlJc w:val="left"/>
      <w:pPr>
        <w:ind w:left="5760" w:hanging="360"/>
      </w:pPr>
    </w:lvl>
    <w:lvl w:ilvl="8" w:tplc="26822589" w:tentative="1">
      <w:start w:val="1"/>
      <w:numFmt w:val="lowerRoman"/>
      <w:lvlText w:val="%9."/>
      <w:lvlJc w:val="right"/>
      <w:pPr>
        <w:ind w:left="6480" w:hanging="180"/>
      </w:pPr>
    </w:lvl>
  </w:abstractNum>
  <w:abstractNum w:abstractNumId="39817054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0823548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430954">
    <w:multiLevelType w:val="hybridMultilevel"/>
    <w:lvl w:ilvl="0" w:tplc="39054487">
      <w:start w:val="1"/>
      <w:numFmt w:val="decimal"/>
      <w:lvlText w:val="%1."/>
      <w:lvlJc w:val="left"/>
      <w:pPr>
        <w:ind w:left="720" w:hanging="360"/>
      </w:pPr>
    </w:lvl>
    <w:lvl w:ilvl="1" w:tplc="39054487" w:tentative="1">
      <w:start w:val="1"/>
      <w:numFmt w:val="lowerLetter"/>
      <w:lvlText w:val="%2."/>
      <w:lvlJc w:val="left"/>
      <w:pPr>
        <w:ind w:left="1440" w:hanging="360"/>
      </w:pPr>
    </w:lvl>
    <w:lvl w:ilvl="2" w:tplc="39054487" w:tentative="1">
      <w:start w:val="1"/>
      <w:numFmt w:val="lowerRoman"/>
      <w:lvlText w:val="%3."/>
      <w:lvlJc w:val="right"/>
      <w:pPr>
        <w:ind w:left="2160" w:hanging="180"/>
      </w:pPr>
    </w:lvl>
    <w:lvl w:ilvl="3" w:tplc="39054487" w:tentative="1">
      <w:start w:val="1"/>
      <w:numFmt w:val="decimal"/>
      <w:lvlText w:val="%4."/>
      <w:lvlJc w:val="left"/>
      <w:pPr>
        <w:ind w:left="2880" w:hanging="360"/>
      </w:pPr>
    </w:lvl>
    <w:lvl w:ilvl="4" w:tplc="39054487" w:tentative="1">
      <w:start w:val="1"/>
      <w:numFmt w:val="lowerLetter"/>
      <w:lvlText w:val="%5."/>
      <w:lvlJc w:val="left"/>
      <w:pPr>
        <w:ind w:left="3600" w:hanging="360"/>
      </w:pPr>
    </w:lvl>
    <w:lvl w:ilvl="5" w:tplc="39054487" w:tentative="1">
      <w:start w:val="1"/>
      <w:numFmt w:val="lowerRoman"/>
      <w:lvlText w:val="%6."/>
      <w:lvlJc w:val="right"/>
      <w:pPr>
        <w:ind w:left="4320" w:hanging="180"/>
      </w:pPr>
    </w:lvl>
    <w:lvl w:ilvl="6" w:tplc="39054487" w:tentative="1">
      <w:start w:val="1"/>
      <w:numFmt w:val="decimal"/>
      <w:lvlText w:val="%7."/>
      <w:lvlJc w:val="left"/>
      <w:pPr>
        <w:ind w:left="5040" w:hanging="360"/>
      </w:pPr>
    </w:lvl>
    <w:lvl w:ilvl="7" w:tplc="39054487" w:tentative="1">
      <w:start w:val="1"/>
      <w:numFmt w:val="lowerLetter"/>
      <w:lvlText w:val="%8."/>
      <w:lvlJc w:val="left"/>
      <w:pPr>
        <w:ind w:left="5760" w:hanging="360"/>
      </w:pPr>
    </w:lvl>
    <w:lvl w:ilvl="8" w:tplc="39054487" w:tentative="1">
      <w:start w:val="1"/>
      <w:numFmt w:val="lowerRoman"/>
      <w:lvlText w:val="%9."/>
      <w:lvlJc w:val="right"/>
      <w:pPr>
        <w:ind w:left="6480" w:hanging="180"/>
      </w:pPr>
    </w:lvl>
  </w:abstractNum>
  <w:abstractNum w:abstractNumId="25430953">
    <w:multiLevelType w:val="hybridMultilevel"/>
    <w:lvl w:ilvl="0" w:tplc="39759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30953">
    <w:abstractNumId w:val="25430953"/>
  </w:num>
  <w:num w:numId="25430954">
    <w:abstractNumId w:val="25430954"/>
  </w:num>
  <w:num w:numId="208235480">
    <w:abstractNumId w:val="208235480"/>
  </w:num>
  <w:num w:numId="398170541">
    <w:abstractNumId w:val="398170541"/>
  </w:num>
  <w:num w:numId="25430955">
    <w:abstractNumId w:val="25430955"/>
  </w:num>
  <w:num w:numId="25430956">
    <w:abstractNumId w:val="25430956"/>
  </w:num>
  <w:num w:numId="746893046">
    <w:abstractNumId w:val="746893046"/>
  </w:num>
  <w:num w:numId="689820643">
    <w:abstractNumId w:val="689820643"/>
  </w:num>
  <w:num w:numId="571398341">
    <w:abstractNumId w:val="571398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24079937" Type="http://schemas.openxmlformats.org/officeDocument/2006/relationships/numbering" Target="numbering.xml"/><Relationship Id="rId36983415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