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9238357" w:name="document"/>
    <w:bookmarkEnd w:id="49238357"/>
    <w:p/>
    <w:p>
      <w:pPr>
        <w:widowControl w:val="on"/>
        <w:pBdr/>
        <w:spacing w:before="0" w:after="280" w:line="240" w:lineRule="auto"/>
        <w:ind w:left="0" w:right="0"/>
        <w:jc w:val="left"/>
      </w:pPr>
      <w:r>
        <w:rPr>
          <w:rFonts w:ascii="Arial" w:hAnsi="Arial" w:eastAsia="Arial" w:cs="Arial"/>
          <w:color w:val="363A40"/>
          <w:sz w:val="24"/>
          <w:szCs w:val="24"/>
        </w:rPr>
        <w:t xml:space="preserve">Dokument-ID: 1015675 | Alexandra Cervinka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Scheidungsvergleich – Überblick</w:t>
      </w:r>
    </w:p>
    <w:p>
      <w:pPr>
        <w:numPr>
          <w:ilvl w:val="0"/>
          <w:numId w:val="16747377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Ehegattenunterhalt</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Beginn der Unterhaltszahlungen, Respiro</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 Wertsicherung</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Fälligkeit, Zahlungsmodalitäten (die Überweisung auf ein
festgelegtes Konto wird empfohlen)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Festhalten, ob Rückstand besteht + allenfalls
Zahlungsvereinbarung über den Rückstand zum Zeitpunkt des
Vergleichsabschlusses</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Bemessungsgrundlage</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Weitere Sorgepflichten des Unterhaltspflichtigen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Eigeneinkommen des Unterhaltsberechtigten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Eventuelle Befristung des Ehegattenunterhalts</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Unterhaltsverzicht: entweder wechselseitig oder nur Verzicht
des Unterhaltsverpflichteten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Gesetzliche Regelung, dass der Unterhalt bei Eingehen einer
Lebensgemeinschaft ruht und bei Wiederverheiratung erlischt – kann
abbedungen werden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für Höhe des Unterhaltes bei Pensionseintritt,
Eintritt von Berufsunfähigkeit udgl</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der Vorgangsweise bei Änderung der
Bemessungsgrundlage</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Pensionsansprüche, vor allem bei Unterhaltsverzicht
beachten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Witwenpensionsansprüche berücksichtigen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Erlöschen der Mitversicherung bei Krankenversicherung
beachten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Berücksichtigung der Fristen für freiwillige
Weiterversicherung, allenfalls Möglichkeit eines
Herabsetzungsantrages überprüfen</w:t>
      </w:r>
    </w:p>
    <w:p>
      <w:pPr>
        <w:numPr>
          <w:ilvl w:val="0"/>
          <w:numId w:val="16747377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Obsorge</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Obsorge beider Eltern soll nach Willen des Gesetzgebers
grundsätzlich auch nach Auflösung der Ehe weiterbestehen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Obsorge bleibt hinsichtlich beider Elternteile aufrecht:
Regelung, in wessen Haushalt das Kind/die Kinder hauptsächlich
betreut werden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echte „Doppelresidenz“ möglich, in der Praxis aber immer
häufiger gelebt</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Allgemeiner Grundsatz: Derjenige Elternteil, der die
hauptsächliche Betreuung innehat, muss mit der gesamten Obsorge
betraut sein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Betrauung eines Elternteiles alleine mit der Obsorge</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Beschränkung der Obsorge eines Elternteils</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pflegschaftsgerichtliche Genehmigung mehr notwendig, aber
mögliche Unwirksamkeitserklärung durch das Gericht bei
Kindeswohlgefährdung</w:t>
      </w:r>
    </w:p>
    <w:p>
      <w:pPr>
        <w:numPr>
          <w:ilvl w:val="0"/>
          <w:numId w:val="16747377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Kontaktrecht</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Besonderes Naheverhältnis zum Elternteil soll gewahrt bzw
hergestellt werden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Kontaktrecht soll auch Freizeit und Alltag umfassen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Elternteil, der mit dem Kind nicht im gemeinsamen Haushalt
lebt, soll durch die Gestaltung der persönlichen Kontakte nicht in
die Rolle eines gelegentlichen Besuchers gedrängt werden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Alter, Bedürfnisse, Wünsche des Kindes und bisherige Intensität
der Beziehung sind besonders zu berücksichtigen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Mindestbesuchsrecht festgelegt</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Oberster Grundsatz ist nach wie vor das Kindeswohl</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Kontaktrecht darf nicht der außergerichtlichen Regelung
vorbehalten werden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Mögliche Regelungsinhalte: regelmäßige Wochenenden, Tage unter
der Woche, Ferienbesuchsrecht, Feiertagsbesuchsrecht, Regelung der
Geburtstage, Muttertag, Vatertag</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Bereitschaft der Eltern, die Regelung allenfalls an veränderte
Umstände anzupassen, ist von großer Wichtigkeit</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Hohes Maß an Flexibilität ist erforderlich</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Modalitäten: Abhol- und Zurückbringzeiten genau festlegen,
maximale Wartezeit auf Besuchsberechtigten, allenfalls Verfall des
Besuchsrechts bei Nichtausübung</w:t>
      </w:r>
    </w:p>
    <w:p>
      <w:pPr>
        <w:numPr>
          <w:ilvl w:val="0"/>
          <w:numId w:val="16747377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Kindesunterhalt</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Beginn der Zahlungen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Fälligkeit, Zahlungsmodalitäten (es empfiehlt sich die
Überweisung auf ein Konto)</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Rückstände + allenfalls Zahlungsvereinbarung über den
Rückstand</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Bemessungsgrundlage der Unterhaltsberechnung</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Weitere Sorgepflichten des Unterhaltspflichtigen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Familienbeihilfenbezug (allenfalls Änderung der
Bezugsberechtigung; Anrechnung)</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wie Unterhalt bemessen wurde (§ 231 ABGB)</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wer Familienbonus beziehen soll</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Schad- und Klaglosvereinbarung zwischen den Elternteilen
möglich, sofern die Vereinbarung darüber im Rahmen einer
umfassenden Regelung der Folgen einer Trennung vor Gericht
geschlossen wird. Dadurch wird berücksichtigt, dass Schad- und
Klagloshaltungen meist mit einer weitreichenden Regelung der
vermögensrechtlichen Folgen einer Trennung zusammenhängen und daher
regelmäßig entsprechend abgegolten werden.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wer allenfalls vorhandenen Bausparvertrag bedient
(Anrechnung auf Unterhalt ja/nein)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Sonderbedarf</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Gerichtliche Vereinbarung über die Höhe des Unterhaltes ist
auch ohne gerichtliche Genehmigung wirksam und vollstreckbar und
für den Unterhaltsverpflichteten verbindlich</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Verzicht ist weiterhin nicht zulässig</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 ist an die Vereinbarung nicht gebunden, kann jederzeit
Erhöhung geltend machen, dies auch ohne Änderung der der
Vereinbarung zugrunde liegenden Umstände</w:t>
      </w:r>
    </w:p>
    <w:p>
      <w:pPr>
        <w:numPr>
          <w:ilvl w:val="0"/>
          <w:numId w:val="16747377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Eheliches Gebrauchsvermögen, eheliche Ersparnisse und
Schulden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Ehewohnung/eheliches Haus im Eigentum: klären, wem die Wohnung
bzw das Haus künftig alleine gehören soll. Miteigentum nach der
Scheidung wenn möglich vermeiden (Konfliktpotenzial!)</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Übertragung von Eigentum: Rangordnungsbeschluss
erwirken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Zeitpunkt für Übergang der Kosten für Ehewohnung fixieren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Betriebskostenrückstände, Betriebskostenguthaben udgl
klären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über Kosten, Gebühren, Steuern und Abgaben, die im
Zusammenhang mit Liegenschaftsübertragung anfallen, treffen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Räumungsvereinbarung treffen, allenfalls Verzicht auf
Räumungsaufschub</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Mitnahme Gegenstände klären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 gemietet: Erklärung in den Scheidungsvergleich
aufnehmen, dass der Ehegatte, der auszieht, fristgerecht sämtliche
Erklärungen gegenüber dem Vermieter abgibt, die zur Übertragung der
Mietrechte notwendig sind</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Regeln, wer eine hinterlegte Kaution erhält</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Liste über Gegenstände anfertigen, die der ausziehende Ehegatte
mitnehmen darf. Die Gegenstände möglichst genau beschreiben, da
allenfalls Exekution geführt werden muss</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Frist für Abholung der Gegenstände vereinbaren; allenfalls
Recht auf Entsorgung der Gegenstände bei nicht fristgerechter
Abholung bzw Übergang in das Eigentum des anderen; Kostenregelung
für allenfalls notwendige Entsorgung</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Pkw, allenfalls Eigentumsübertragung;
Leasingfahrzeug</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Herausgabepflicht für die Fahrzeugpapiere terminlich
fixieren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Haushaltsversicherung, Gebäudeversicherung etc: Übertragung und
allenfalls Zustimmungserklärung regeln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Aufteilung Sparbücher</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Lebensversicherungen: überprüfen, ob für den Übergang
Erklärungen des ausscheidenden Ehepartners notwendig sind</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Schulden: Wer haftet? Kredite, Bankkonten, Leasingverträge
etc</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Antrag Ausfallsbürgschaft (am besten gleich im
Scheidungsvergleich beantragen)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Ausgleichzahlung: Höhe, Fälligkeit, Zahlungsmodalitäten
(Raten), Zinsen, Terminsverlust</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Ausgleichszahlung allenfalls an eine Bedingung knüpfen
(fristgerechte Räumung etc), Pfandrecht zur Absicherung</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Abgeltung Miterwerb im Betrieb des anderen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Kosten der einvernehmlichen Ehescheidung: Gerichtskosten,
Anwaltskosten</w:t>
      </w:r>
    </w:p>
    <w:p>
      <w:pPr>
        <w:numPr>
          <w:ilvl w:val="0"/>
          <w:numId w:val="16747377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 95 Abs 1a AußStrG</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 Abschluss oder Vorlage einer Regelung der Scheidungsfolgen
bei Gericht haben die Parteien zu bescheinigen, dass sie sich über
die spezifischen aus der Scheidung resultierenden Bedürfnisse ihrer
minderjährigen Kinder bei einer geeigneten Person oder Einrichtung
haben beraten lassen.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Geeignete Personen oder Einrichtungen können sowohl die
etablierten Familienberatungsstellen als auch freiberuflich tätige
Psychologen und Pädagogen sein.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Einzelberatung der Eltern ist nicht erforderlich. Da eine
allgemeine Information über die mit einer Ehescheidung verbundenen
Folgen für minderjährige Kinder im Vordergrund steht, ist es auch
möglich, dass mehrere Elternpaare eine derartige Beratung gemeinsam
in Anspruch nehmen und dadurch die Kosten aufgeteilt werden.</w:t>
      </w:r>
    </w:p>
    <w:p>
      <w:pPr>
        <w:numPr>
          <w:ilvl w:val="0"/>
          <w:numId w:val="167473770"/>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Notwendige Dokumente (im Original vorzulegen)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Heiratsurkunde</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Staatsbürgerschaftsnachweise der Ehegatten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Meldebestätigungen der Ehegatten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Lichtbildausweise der Ehegatten</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Meldebestätigungen der Kinder</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Geburtsurkunden der gemeinsamen Kinder</w:t>
      </w:r>
    </w:p>
    <w:p>
      <w:pPr>
        <w:numPr>
          <w:ilvl w:val="1"/>
          <w:numId w:val="1674737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Bestätigung gem § 95 Abs 1a AußStrG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473770">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7595330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211120">
    <w:multiLevelType w:val="hybridMultilevel"/>
    <w:lvl w:ilvl="0" w:tplc="72523986">
      <w:start w:val="1"/>
      <w:numFmt w:val="decimal"/>
      <w:lvlText w:val="%1."/>
      <w:lvlJc w:val="left"/>
      <w:pPr>
        <w:ind w:left="720" w:hanging="360"/>
      </w:pPr>
    </w:lvl>
    <w:lvl w:ilvl="1" w:tplc="72523986" w:tentative="1">
      <w:start w:val="1"/>
      <w:numFmt w:val="lowerLetter"/>
      <w:lvlText w:val="%2."/>
      <w:lvlJc w:val="left"/>
      <w:pPr>
        <w:ind w:left="1440" w:hanging="360"/>
      </w:pPr>
    </w:lvl>
    <w:lvl w:ilvl="2" w:tplc="72523986" w:tentative="1">
      <w:start w:val="1"/>
      <w:numFmt w:val="lowerRoman"/>
      <w:lvlText w:val="%3."/>
      <w:lvlJc w:val="right"/>
      <w:pPr>
        <w:ind w:left="2160" w:hanging="180"/>
      </w:pPr>
    </w:lvl>
    <w:lvl w:ilvl="3" w:tplc="72523986" w:tentative="1">
      <w:start w:val="1"/>
      <w:numFmt w:val="decimal"/>
      <w:lvlText w:val="%4."/>
      <w:lvlJc w:val="left"/>
      <w:pPr>
        <w:ind w:left="2880" w:hanging="360"/>
      </w:pPr>
    </w:lvl>
    <w:lvl w:ilvl="4" w:tplc="72523986" w:tentative="1">
      <w:start w:val="1"/>
      <w:numFmt w:val="lowerLetter"/>
      <w:lvlText w:val="%5."/>
      <w:lvlJc w:val="left"/>
      <w:pPr>
        <w:ind w:left="3600" w:hanging="360"/>
      </w:pPr>
    </w:lvl>
    <w:lvl w:ilvl="5" w:tplc="72523986" w:tentative="1">
      <w:start w:val="1"/>
      <w:numFmt w:val="lowerRoman"/>
      <w:lvlText w:val="%6."/>
      <w:lvlJc w:val="right"/>
      <w:pPr>
        <w:ind w:left="4320" w:hanging="180"/>
      </w:pPr>
    </w:lvl>
    <w:lvl w:ilvl="6" w:tplc="72523986" w:tentative="1">
      <w:start w:val="1"/>
      <w:numFmt w:val="decimal"/>
      <w:lvlText w:val="%7."/>
      <w:lvlJc w:val="left"/>
      <w:pPr>
        <w:ind w:left="5040" w:hanging="360"/>
      </w:pPr>
    </w:lvl>
    <w:lvl w:ilvl="7" w:tplc="72523986" w:tentative="1">
      <w:start w:val="1"/>
      <w:numFmt w:val="lowerLetter"/>
      <w:lvlText w:val="%8."/>
      <w:lvlJc w:val="left"/>
      <w:pPr>
        <w:ind w:left="5760" w:hanging="360"/>
      </w:pPr>
    </w:lvl>
    <w:lvl w:ilvl="8" w:tplc="72523986" w:tentative="1">
      <w:start w:val="1"/>
      <w:numFmt w:val="lowerRoman"/>
      <w:lvlText w:val="%9."/>
      <w:lvlJc w:val="right"/>
      <w:pPr>
        <w:ind w:left="6480" w:hanging="180"/>
      </w:pPr>
    </w:lvl>
  </w:abstractNum>
  <w:abstractNum w:abstractNumId="30211119">
    <w:multiLevelType w:val="hybridMultilevel"/>
    <w:lvl w:ilvl="0" w:tplc="67053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11119">
    <w:abstractNumId w:val="30211119"/>
  </w:num>
  <w:num w:numId="30211120">
    <w:abstractNumId w:val="30211120"/>
  </w:num>
  <w:num w:numId="175953309">
    <w:abstractNumId w:val="175953309"/>
  </w:num>
  <w:num w:numId="167473770">
    <w:abstractNumId w:val="1674737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97712980" Type="http://schemas.openxmlformats.org/officeDocument/2006/relationships/numbering" Target="numbering.xml"/><Relationship Id="rId35575697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