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709220" w:name="document"/>
    <w:bookmarkEnd w:id="5709220"/>
    <w:p/>
    <w:p>
      <w:pPr>
        <w:widowControl w:val="on"/>
        <w:pBdr/>
        <w:spacing w:before="0" w:after="280" w:line="240" w:lineRule="auto"/>
        <w:ind w:left="0" w:right="0"/>
        <w:jc w:val="left"/>
      </w:pPr>
      <w:r>
        <w:rPr>
          <w:rFonts w:ascii="Arial" w:hAnsi="Arial" w:eastAsia="Arial" w:cs="Arial"/>
          <w:color w:val="363A40"/>
          <w:sz w:val="24"/>
          <w:szCs w:val="24"/>
        </w:rPr>
        <w:t xml:space="preserve">Dokument-ID: 1043457 | Alexandra Cervinka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Elternberatung vor einvernehmlicher Ehescheidung</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Rechtsgrundlage:</w:t>
      </w:r>
      <w:r>
        <w:rPr>
          <w:rFonts w:ascii="Arial" w:hAnsi="Arial" w:eastAsia="Arial" w:cs="Arial"/>
          <w:color w:val="000000"/>
          <w:sz w:val="20"/>
          <w:szCs w:val="20"/>
        </w:rPr>
        <w:t xml:space="preserve"> § 95 Abs 1a
AußStrG</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Parteien einer einvernehmlichen Ehescheidung sind seit dem
Inkrafttreten des KindNamRÄG 2013 am 1. Februar 2013 verpflichtet,
vor Abschluss oder Vorlage einer Regelung der Scheidungsfolgen, dem
Gericht zu bescheinigen, dass sie sich über die spezifischen, aus
der Scheidung resultierenden Bedürfnisse ihrer minderjährigen
Kinder bei einer geeigneten Person oder Einrichtung beraten haben
lassen.</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Absolvierung einer derartigen Beratung samt Vorlage der
entsprechenden Bestätigung ist Voraussetzung für die
einvernehmliche Scheidung. Liegt die Bestätigung nicht zeitgerecht
vor, wird die einvernehmliche Ehescheidung nicht durchgeführt.</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Beratung kann in Form einer Einzelberatung erfolgen, es
können aber auch mehrere Elternpaare eine derartige Beratung
gemeinsam in Anspruch nehmen.</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strittiger Scheidung besteht eine solche allgemeine
gesetzliche Verpflichtung zwar nicht, das Pflegschaftsgericht hat
aber nach § 107 Abs 3 AußStrG die Möglichkeit, den Eltern
eine Beratung iSd § 95 Abs 1a AußStrG (oder auch eine
umfassendere) aufzutragen.</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Elternberatungsstellen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Liste von Elternberatungsstellen findet sich auf der
Homepage des Justizministeriums (</w:t>
      </w:r>
      <w:hyperlink r:id="rId26566abcd02554cfb" w:history="1">
        <w:r>
          <w:rPr>
            <w:rFonts w:ascii="Arial" w:hAnsi="Arial" w:eastAsia="Arial" w:cs="Arial"/>
            <w:color w:val="006BB6"/>
            <w:sz w:val="20"/>
            <w:szCs w:val="20"/>
          </w:rPr>
          <w:t xml:space="preserve">www.justiz.gv.at</w:t>
        </w:r>
      </w:hyperlink>
      <w:r>
        <w:rPr>
          <w:rFonts w:ascii="Arial" w:hAnsi="Arial" w:eastAsia="Arial" w:cs="Arial"/>
          <w:color w:val="000000"/>
          <w:sz w:val="20"/>
          <w:szCs w:val="20"/>
        </w:rPr>
        <w:t xml:space="preserve">).</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Qualitätsstandards</w:t>
      </w:r>
      <w:r>
        <w:rPr>
          <w:rFonts w:ascii="Arial" w:hAnsi="Arial" w:eastAsia="Arial" w:cs="Arial"/>
          <w:color w:val="000000"/>
          <w:sz w:val="20"/>
          <w:szCs w:val="20"/>
        </w:rPr>
        <w:t xml:space="preserve"> für die Elternberatung
</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Um die Beratung zielführend durchführen zu können, hat sie nach
klaren methodischen und inhaltlichen Qualitätsstandards zu
erfolgen.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Rahmen einer von den Österreichischen Kinder- und
Jugendanwaltschaften, Rainbows, dem (ehemaligen) Bundesministerium
für Familien und Jugend sowie dem (ehemaligen) Bundesministerium
für Justiz am 22.03.2013 in Salzburg veranstalteten Fachtagung, an
der rund 180 Expertinnen und Experten teilnahmen, wurden
inhaltliche Qualitätsstandards erarbeitet. Ein interdisziplinärer
Fachbeirat, bestehend aus Vertreter/innen der Veranstalter der
Tagung und der Wissenschaft, fasste die in den Plenarvorträgen und
den Workshops dieser Tagung erarbeiteten Ergebnisse zusammen und
entwickelte so die nunmehr vorliegenden Empfehlungen für die
Beratung nach § 95 Abs 1a AußStrG.</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Um den Gerichten die Beurteilung zu erleichtern, ob eine Person
oder Einrichtung geeignet ist, die in § 95 Abs 1a AußStrG
vorgesehene Elternberatung durchzuführen, wird ein zweistufiges
Prüfungsverfahren über das (ehemalige) Bundesministerium für
Familien und Jugend durchgeführt.</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Aufnahme in die vom (ehemaligen) Bundesministerium für
Familien und Jugend geführte Liste stellt nur eine unverbindliche
Empfehlung an die Gerichte dar, es bleibt ihnen unbenommen (zB
aufgrund eigener dienstlicher Wahrnehmungen), auch andere Personen
oder Einrichtungen als geeignet im Sinn des § 95 Abs 1a
AußStrG zu betrachten.</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Kurze Auszüge aus den empfohlenen
</w:t>
      </w:r>
      <w:r>
        <w:rPr>
          <w:rFonts w:ascii="Arial" w:hAnsi="Arial" w:eastAsia="Arial" w:cs="Arial"/>
          <w:b/>
          <w:bCs/>
          <w:color w:val="000000"/>
          <w:sz w:val="20"/>
          <w:szCs w:val="20"/>
        </w:rPr>
        <w:t xml:space="preserve">Qualitätsstandards</w:t>
      </w:r>
      <w:r>
        <w:rPr>
          <w:rFonts w:ascii="Arial" w:hAnsi="Arial" w:eastAsia="Arial" w:cs="Arial"/>
          <w:color w:val="000000"/>
          <w:sz w:val="20"/>
          <w:szCs w:val="20"/>
        </w:rPr>
        <w:t xml:space="preserve"> für die Beratungsstellen.
</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Zeitrahmen: Als zeitliche Struktur werden für Einzel- und
Paarberatungen mindestens ein bis zwei Stunden empfohlen,
Gruppenberatungen sollten zwei bis drei Stunden dauern.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Entgelt: Als Richtwerte für ein angemessenes Entgelt der
Beratungsangebote können gelten:
</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EUR 60,– pro Stunde und Person bei Einzelberatung,</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EUR 35,– pro Stunde und Person bei Paarberatung und</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EUR 30,– pro Gruppenveranstaltung und Person.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Höhe der Kosten muss den Eltern bereits im Vorfeld bekannt
gegeben werden und klar deklariert sein.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Eltern, die der Sprache Deutsch nicht ausreichend mächtig
sind, wäre eine ständige Kooperation mit bestimmten Dolmetschern
bzw Beratungsstellen für Migrantinnen und Migranten anzustreben (um
allenfalls Sonderkonditionen für Elternteile mit geringem Einkommen
anbieten zu können).</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 der </w:t>
      </w:r>
      <w:r>
        <w:rPr>
          <w:rFonts w:ascii="Arial" w:hAnsi="Arial" w:eastAsia="Arial" w:cs="Arial"/>
          <w:b/>
          <w:bCs/>
          <w:color w:val="000000"/>
          <w:sz w:val="20"/>
          <w:szCs w:val="20"/>
        </w:rPr>
        <w:t xml:space="preserve">Gruppenberatung</w:t>
      </w:r>
      <w:r>
        <w:rPr>
          <w:rFonts w:ascii="Arial" w:hAnsi="Arial" w:eastAsia="Arial" w:cs="Arial"/>
          <w:color w:val="000000"/>
          <w:sz w:val="20"/>
          <w:szCs w:val="20"/>
        </w:rPr>
        <w:t xml:space="preserve"> sollten maximal 20
Personen teilnehmen.
</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Gruppenberatungsangebote sollen von den beiden Elternteilen
gemeinsam besucht werden. Der gemeinsame Besuch einer Gruppe bietet
die Möglichkeit, im Rahmen eines größeren Personenkreises
Informationen zu erhalten und gegebenenfalls Fragen zu stellen,
ohne sofort in die Dynamik der individuellen Scheidungssituation zu
geraten. Außerdem bietet der gemeinsame Besuch einer
Beratungsveranstaltung die Sicherheit und Klarheit, dass beide
Elternteile die gleichen fachlichen Informationen erhalten.</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Inhalte der Elternberatung</w:t>
      </w:r>
      <w:r>
        <w:rPr>
          <w:rFonts w:ascii="Arial" w:hAnsi="Arial" w:eastAsia="Arial" w:cs="Arial"/>
          <w:color w:val="000000"/>
          <w:sz w:val="20"/>
          <w:szCs w:val="20"/>
        </w:rPr>
        <w:t xml:space="preserve"> (die auf
Kinderebene zu vermitteln sind)
</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Erleben der Kinder, deren Bedürfnisse, Wünsche, Nöte,
Ängste und Reaktionen im Zusammenhang mit der elterlichen Scheidung
sollen im Mittelpunkt der Beratung stehen.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Rechte der Kinder (auf Fürsorge, Geborgenheit und den
Schutz der körperlichen und seelischen Integrität, auf
Berücksichtigung ihrer Meinung sowie auf verlässliche Kontakte zu
beiden Elternteilen) und die damit verbundenen Konsequenzen für die
Gestaltung der aktuellen und zukünftigen Lebenssituation der Kinder
sollen verdeutlicht werden.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emotionalen Herausforderungen und Konflikte von Eltern
sollen angesprochen und thematisiert werden.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 sollen auf die verschiedenen Möglichkeiten zur
Unterstützung und Entlastung der Kinder aufmerksam gemacht
werden.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soll auf die Chancen hingewiesen werden, die aus einer
Scheidung erwachsen können (etwa das Aufwachsen in weniger
konfliktbehafteter Atmosphäre).</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Inanspruchnahme von Beratung soll enttabuisiert und auf
weiterführende unterstützende und beratende Angebote soll verwiesen
werden.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Inhalte der Beratung sollen auf das Lebensalter und den
jeweiligen Lebensabschnitt der betroffenen Kinder/Jugendlichen
abgestimmt und die aktuelle Scheidungssituation soll berücksichtigt
werden.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Rahmen der Beratung nach § 95 Abs 1a AußStrG
sollen Eltern im Hinblick auf das emotionale Erleben der Kinder
darüber informiert werden, dass die Scheidung der Eltern:
</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Kindern immer das Erleben eines massiven Verlusts bedeutet
(auch wenn in gewisser Hinsicht in der aktuellen Lebenssituation
des Kindes eventuell eine Form von Entspannung eingetreten
ist),</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einen schmerzlichen Einschnitt in die Lebenssituationen der
Kinder bedeutet und immer eine Fülle von Gefühlen, Ängsten und
Konflikten verursacht,</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Gefühle von Ohnmacht, Hilflosigkeit, Wut und Scham bei Kindern
auslöst und</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mit Schuldgefühlen belastet, da sie davon ausgehen, dass
„eigenes, kindliches Fehl-Verhalten“ der mögliche Grund für die
Scheidung gewesen sein könnte,</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Ängste auslöst, den Elternteil – der eventuell weggeht oder
nicht mehr so häufig da ist – (ganz) zu verlieren,</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Loyalitätskonflikte verursacht und Kinder versuchen, auf der
einen und der anderen Seite jedes Elternteils zu stehen und den
Vorstellungen des jeweiligen Elternteils zu entsprechen.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der Beratung soll des Weiteren auch auf jene Wünsche von
Kindern eingegangen werden, die das Bedürfnis nach bestimmten
Beziehungserfahrungen ausdrücken. Dazu gehört der Wunsch (und das
Recht):
</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beide Eltern gleich lieb haben zu dürfen,</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Kontakt und Nähe zu beiden Elternteilen zu haben,</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keine Abwertungen und Beleidigungen über den anderen Elternteil
hören und erfahren zu müssen,</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Fantasie und die Hoffnung zu haben, dass (wider jede
rationale Einschätzung) „eventuell, eines Tages, alles wieder gut
werde“ und die Eltern wieder zusammenfinden,</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neue Partner der Eltern nicht sofort kennenlernen zu
müssen,</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neue Partner mögen und lieb haben zu dürfen und dabei aber auch
den leiblichen Elternteil als das Einzigartige und Besondere
beibehalten und Zeit mit ihm/ihr verbringen zu dürfen,</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Kontinuität und Aufrechterhaltung von Beziehungen und dem
Kontakt zu Bezugspersonen, die für das Kind bedeutsam sind,</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Vertrautheiten des Alltags, die Wohnsituation, Schule und
Freunde behalten zu dürfen und</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wichtige Rituale des Alltags möglichst beibehalten zu
können.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 müssen in der Beratung davon in Kenntnis gesetzt werden,
dass
</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Reaktionen von Kindern auf die Scheidung und das Geschehen rund
um die Trennung notwendige, gesunde „psychische Maßnahmen“ der
Kinder sind, um das seelische Gleichgewicht wieder zu
erlangen,</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meisten dieser Reaktionen vom Kind nicht „bewusst gesteuert
und initiiert“ sind, sondern als Ausdruck innerpsychischer
Verarbeitungsprozesse verstanden werden müssen, um die erlebten
Verluste bewältigen zu können,</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Kindern, die keine Auffälligkeiten, Reaktionen etc zeigen,
nicht davon ausgegangen werden kann, dass sie durch die
Trennung/Scheidung nicht belastet sind, und</w:t>
      </w:r>
    </w:p>
    <w:p>
      <w:pPr>
        <w:numPr>
          <w:ilvl w:val="2"/>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die keine Reaktionen zeigen, von den Eltern ermutigt
werden sollten, ihre Gefühle auszudrücken, und das Auftauchen von
Symptomen (wie bspw Gereiztheit, Aggressionen, erhöhte Traurigkeit,
aber auch Einnässen, Schulversagen oder körperliche Symptome) als
Form des Ausdrucks von inneren Spannungen verstanden werden
kann.</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Zusammenfassend</w:t>
      </w:r>
      <w:r>
        <w:rPr>
          <w:rFonts w:ascii="Arial" w:hAnsi="Arial" w:eastAsia="Arial" w:cs="Arial"/>
          <w:color w:val="000000"/>
          <w:sz w:val="20"/>
          <w:szCs w:val="20"/>
        </w:rPr>
        <w:t xml:space="preserve"> gesehen soll Eltern vermittelt
werden, dass
</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schmerzlichen Erfahrungen rund um die Scheidung der Eltern
und die damit verbundenen emotionalen Stürme unvermeidbar
sind,</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bei allen Kindern, in jedem Alter auftreten und
grundsätzlich auch nicht verhindert werden können, von den Eltern
aber verstanden und gemildert werden können und</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damit die Möglichkeit besteht, die Chancen, die in der Trennung
liegen, zu nutzen.</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Haltungen, Konflikte und die Aufgaben von
Eltern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 müssen in der Beratung darüber aufgeklärt werden,
dass</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im Hinblick auf die Bedürfnisse der Kinder sinnvoll ist,
zwischen der „Ebene als Paar“ und der „Ebene als Eltern“ zu
unterscheiden,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Scheidung dann eine Chance für Kinder bedeuten kann, wenn
Eltern bereit sind, die von ihnen verursachte Krise auch annehmen
zu können. Das bedeutet jedoch zu erkennen, dass</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viele sich trennende oder getrennte Eltern geradezu
zwangsläufig in einen schwierigen Konflikt geraten, dass einiges,
was die Eltern aufgrund ihrer eigenen Krise, ihrer Kränkungen und
Verletzungen und ihrer Angst, die Kinder an den anderen zu
verlieren, brauchen würden, um selbst wieder ins Gleichgewicht zu
kommen, im Widerspruch steht zu dem, was die Kinder in dieser Zeit
brauchen. Typische Beispiele solcher Verhaltensweisen der Eltern:
die Loyalität der Kinder sichern, Reduzierung des Kontaktes zum
anderen Elternteil, weil die Kinder nach den Besuchen außer sich
sind, in den Besuchszwischenzeiten vom anderen nichts hören oder
gar reden müssen, die Ersetzung von Mutter oder Vater durch neue
Partner …,</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dieser Konflikt in der Regel bei allen Eltern in irgendeiner
Weise besteht: Dass das, was mir (als Mutter/Vater) gut tut, meinem
Kind nicht gut tut, ja es vielleicht sogar schädigt, gehört zu den
schmerzlichen Einsichten von Eltern, die sich trennen/getrennt
haben. Und es ist zweifellos als heroische Leistung anzuerkennen,
wenn Eltern es schaffen, diesen Konflikt erstens nicht zu
verleugnen und zweitens über den eigenen Schatten zu springen,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für Kinder in hohem Maß entlastend ist, wenn beide
Elternteile – aktiv ansprechend – die Schuld und Verantwortung für
die Krise und das Leid des Kindes übernehmen und in diesem Sinne
darauf achten, was das Kind für eine entwicklungsförderliche
Verarbeitung der Scheidung braucht (so können dem Kind die eigenen
Schuldgefühle genommen werden),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keine Schuld an der Trennung haben.</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Elterliche Handlungen, die für Kinder entlastend
sind</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den Beratungsangeboten soll vermittelt werden, dass es für
Kinder hilfreich ist, wenn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immer wieder dem Alter und der Befindlichkeit entsprechend die
Möglichkeit gegeben wird, über die Scheidung, die damit verbundenen
Ereignisse, aber auch diesbezügliche Ursachen zu sprechen,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Wertschätzung und der Respekt vor dem anderen Elternteil
gewahrt wird, da Loyalitätskonflikte sonst neuerlich geschürt
werden,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berücksichtigt wird, dass die Kontaktaufnahmen der Kinder mit
dem anderen Elternteil einen verlässlichen Rahmen brauchen,
innerhalb dessen Flexibilität für Sonderregelungen möglich
ist,</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nicht als „Spione oder Botschafter“ des jeweils anderen
Elternteils gesehen und verwendet werden, um Ängste und Konflikte
der Kinder nicht zu verstärken,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Kindern das Gefühl gegeben wird, mit ihren Problemen nicht
allein zu sein,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Kindern ihre Sorgen und Probleme zugestanden und ihre Anliegen
ernst genommen werden,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Zeit und Raum gegeben wird, um neue Partnerschaften der Eltern
zu „begutachten“, wobei auch Distanz gezeigt werden darf,</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die in Patchwork-Konstellationen leben, die Gewissheit
haben, den leiblichen Elternteil nicht zu verlieren und diesen auf
einzigartige Weise und besonders lieb haben zu dürfen,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das Recht auf beide Eltern haben und</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 sich fachliche Beratung und Unterstützung holen und
somit jemanden haben, der ihnen dabei hilft, den Blick auf die
Bedürfnisse der Kinder zu bewahren.</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Inhalte zur Gestaltung des familiären Alltags
(beispielhaft)</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Hinblick auf die Gestaltung des familiären Alltags soll den
Eltern vermittelt werden, dass es für ihre Kinder unterstützend
sein kann, wenn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sie sich über die Besuchskontakte und wichtige Fest im Leben
der Kinder einig sind,</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Eltern je nach Möglichkeit Schulfeste, Sport- und
Freizeitaktivitäten der Kinder auch fallweise gemeinsam
besuchen,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Möglichkeiten zur spontanen Kontaktaufnahme „auf dem kurzen
Weg“ (Anrufen etc) bestehen, sie sich für wichtige Belange des
Kindes (bspw Haustiere) gemeinsam engagieren und dem Kind auch auf
diese Weise vermitteln, dass es ihnen wichtig ist,</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Kinder (egal welchen Alters) auch bei jenem Elternteil
„Übergangsobjekte“ haben, also Dinge, die – weil sie für die Kinder
von emotionaler Bedeutung sind oder den abwesenden Elternteil
symbolisieren (zum Beispiel Fotos) – als „Brückenbauer“ fungieren
(zwischen den zwei verschiedenen Wohnorten) sowie</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akzeptiert wird, dass es für Kinder wichtig ist, bei Mama und
Papa „zu Hause zu sein“ und die Wohnsituationen der Kinder danach
ausgerichtet sind.</w:t>
      </w:r>
    </w:p>
    <w:p>
      <w:pPr>
        <w:numPr>
          <w:ilvl w:val="0"/>
          <w:numId w:val="241831465"/>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Qualifikation der Elternberater</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Um eine Elternberatung nach § 95 Abs 1a AußStrG
durchführen zu können, muss folgende Qualifikation vorliegen: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Grundberufe – Absolvent/innen eines abgeschlossenen Diplom-
oder Masterstudiums der Psychologie, Erziehungs- oder
Bildungswissenschaften oder vergleichbarer Studien,
Sozialarbeiter/innen oder Sozialpädagog/innen (abgeschlossene
Ausbildung an einer Sozialakademie oder Fachhochschule),
Psychotherapeut/innen; Ehe und Familienberater/innen und diesen
gleichwertige Berater/innen, die nach dem
Familienberatungsförderungsgesetz anerkannt sind.</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Zusatzqualifikation: Eine nachgewiesene in Aus- oder
Weiterbildung erworbene Kompetenz in der Beratung von Eltern in
Trennung-/Scheidungssituationen.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Berufserfahrung: Praxis in der Elternberatung von mindestens 3
Jahren und praktische Erfahrung in der Arbeit mit von
Trennung/Scheidung ihrer Eltern betroffenen Kindern von mindestens
3 Jahren.</w:t>
      </w:r>
    </w:p>
    <w:p>
      <w:pPr>
        <w:numPr>
          <w:ilvl w:val="1"/>
          <w:numId w:val="2418314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Supervision: Eine nachweisbare engmaschige Supervision ist
erforderlich.</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83146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8449579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2638627">
    <w:multiLevelType w:val="hybridMultilevel"/>
    <w:lvl w:ilvl="0" w:tplc="91760847">
      <w:start w:val="1"/>
      <w:numFmt w:val="decimal"/>
      <w:lvlText w:val="%1."/>
      <w:lvlJc w:val="left"/>
      <w:pPr>
        <w:ind w:left="720" w:hanging="360"/>
      </w:pPr>
    </w:lvl>
    <w:lvl w:ilvl="1" w:tplc="91760847" w:tentative="1">
      <w:start w:val="1"/>
      <w:numFmt w:val="lowerLetter"/>
      <w:lvlText w:val="%2."/>
      <w:lvlJc w:val="left"/>
      <w:pPr>
        <w:ind w:left="1440" w:hanging="360"/>
      </w:pPr>
    </w:lvl>
    <w:lvl w:ilvl="2" w:tplc="91760847" w:tentative="1">
      <w:start w:val="1"/>
      <w:numFmt w:val="lowerRoman"/>
      <w:lvlText w:val="%3."/>
      <w:lvlJc w:val="right"/>
      <w:pPr>
        <w:ind w:left="2160" w:hanging="180"/>
      </w:pPr>
    </w:lvl>
    <w:lvl w:ilvl="3" w:tplc="91760847" w:tentative="1">
      <w:start w:val="1"/>
      <w:numFmt w:val="decimal"/>
      <w:lvlText w:val="%4."/>
      <w:lvlJc w:val="left"/>
      <w:pPr>
        <w:ind w:left="2880" w:hanging="360"/>
      </w:pPr>
    </w:lvl>
    <w:lvl w:ilvl="4" w:tplc="91760847" w:tentative="1">
      <w:start w:val="1"/>
      <w:numFmt w:val="lowerLetter"/>
      <w:lvlText w:val="%5."/>
      <w:lvlJc w:val="left"/>
      <w:pPr>
        <w:ind w:left="3600" w:hanging="360"/>
      </w:pPr>
    </w:lvl>
    <w:lvl w:ilvl="5" w:tplc="91760847" w:tentative="1">
      <w:start w:val="1"/>
      <w:numFmt w:val="lowerRoman"/>
      <w:lvlText w:val="%6."/>
      <w:lvlJc w:val="right"/>
      <w:pPr>
        <w:ind w:left="4320" w:hanging="180"/>
      </w:pPr>
    </w:lvl>
    <w:lvl w:ilvl="6" w:tplc="91760847" w:tentative="1">
      <w:start w:val="1"/>
      <w:numFmt w:val="decimal"/>
      <w:lvlText w:val="%7."/>
      <w:lvlJc w:val="left"/>
      <w:pPr>
        <w:ind w:left="5040" w:hanging="360"/>
      </w:pPr>
    </w:lvl>
    <w:lvl w:ilvl="7" w:tplc="91760847" w:tentative="1">
      <w:start w:val="1"/>
      <w:numFmt w:val="lowerLetter"/>
      <w:lvlText w:val="%8."/>
      <w:lvlJc w:val="left"/>
      <w:pPr>
        <w:ind w:left="5760" w:hanging="360"/>
      </w:pPr>
    </w:lvl>
    <w:lvl w:ilvl="8" w:tplc="91760847" w:tentative="1">
      <w:start w:val="1"/>
      <w:numFmt w:val="lowerRoman"/>
      <w:lvlText w:val="%9."/>
      <w:lvlJc w:val="right"/>
      <w:pPr>
        <w:ind w:left="6480" w:hanging="180"/>
      </w:pPr>
    </w:lvl>
  </w:abstractNum>
  <w:abstractNum w:abstractNumId="72638626">
    <w:multiLevelType w:val="hybridMultilevel"/>
    <w:lvl w:ilvl="0" w:tplc="61473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38626">
    <w:abstractNumId w:val="72638626"/>
  </w:num>
  <w:num w:numId="72638627">
    <w:abstractNumId w:val="72638627"/>
  </w:num>
  <w:num w:numId="184495795">
    <w:abstractNumId w:val="184495795"/>
  </w:num>
  <w:num w:numId="241831465">
    <w:abstractNumId w:val="2418314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02549463" Type="http://schemas.openxmlformats.org/officeDocument/2006/relationships/numbering" Target="numbering.xml"/><Relationship Id="rId895302661" Type="http://schemas.openxmlformats.org/officeDocument/2006/relationships/comments" Target="comments.xml"/><Relationship Id="rId26566abcd02554cfb" Type="http://schemas.openxmlformats.org/officeDocument/2006/relationships/hyperlink" Target="http://www.justiz.gv.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