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5109117" w:name="document"/>
    <w:bookmarkEnd w:id="15109117"/>
    <w:p/>
    <w:p>
      <w:pPr>
        <w:widowControl w:val="on"/>
        <w:pBdr/>
        <w:spacing w:before="0" w:after="280" w:line="240" w:lineRule="auto"/>
        <w:ind w:left="0" w:right="0"/>
        <w:jc w:val="left"/>
      </w:pPr>
      <w:r>
        <w:rPr>
          <w:rFonts w:ascii="Arial" w:hAnsi="Arial" w:eastAsia="Arial" w:cs="Arial"/>
          <w:color w:val="363A40"/>
          <w:sz w:val="24"/>
          <w:szCs w:val="24"/>
        </w:rPr>
        <w:t xml:space="preserve">Dokument-ID: 1015675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Überblick</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Ehegattenunterhalt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Unterhaltszahlungen, Respiro</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Wertsicherung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(die Überweisung auf ein
festgelegtes Konto wird empfohlen)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Festhalten, ob Rückstand besteht + allenfalls
Zahlungsvereinbarung über den Rückstand zum Zeitpunkt des
Vergleichsabschlusses</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Eigeneinkommen des Unterhaltsberechtigten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Eventuelle Befristung des Ehegattenunterhalts</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Unterhaltsverzicht: entweder wechselseitig oder nur Verzicht
des Unterhaltsverpflichteten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Gesetzliche Regelung, dass der Unterhalt bei Eingehen einer
Lebensgemeinschaft ruht und bei Wiederverheiratung erlischt – kann
abbedungen werden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für Höhe des Unterhaltes bei Pensionseintritt,
Eintritt von Berufsunfähigkeit udgl</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der Vorgangsweise bei Änderung der
Bemessungsgrundlage</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Pensionsansprüche, vor allem bei Unterhaltsverzicht
beachten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Witwenpensionsansprüche berücksichtigen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Erlöschen der Mitversicherung bei Krankenversicherung
beachten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Berücksichtigung der Fristen für freiwillige
Weiterversicherung, allenfalls Möglichkeit eines
Herabsetzungsantrages überprüfen</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Obsorge</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beider Eltern soll nach Willen des Gesetzgebers
grundsätzlich auch nach Auflösung der Ehe weiterbestehen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bleibt hinsichtlich beider Elternteile aufrecht:
Regelung, in wessen Haushalt das Kind/die Kinder hauptsächlich
betreut werden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echte „Doppelresidenz“ möglich, in der Praxis aber immer
häufiger gelebt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Allgemeiner Grundsatz: Derjenige Elternteil, der die
hauptsächliche Betreuung innehat, muss mit der gesamten Obsorge
betraut sein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Betrauung eines Elternteiles alleine mit der Obsorge</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Beschränkung der Obsorge eines Elternteils</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pflegschaftsgerichtliche Genehmigung mehr notwendig, aber
mögliche Unwirksamkeitserklärung durch das Gericht bei
Kindeswohlgefährdung</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Kontaktrecht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Besonderes Naheverhältnis zum Elternteil soll gewahrt bzw
hergestellt werden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soll auch Freizeit und Alltag umfassen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Elternteil, der mit dem Kind nicht im gemeinsamen Haushalt
lebt, soll durch die Gestaltung der persönlichen Kontakte nicht in
die Rolle eines gelegentlichen Besuchers gedrängt werden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Alter, Bedürfnisse, Wünsche des Kindes und bisherige Intensität
der Beziehung sind besonders zu berücksichtigen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Mindestbesuchsrecht festgelegt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Oberster Grundsatz ist nach wie vor das Kindeswohl</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darf nicht der außergerichtlichen Regelung
vorbehalten werden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Mögliche Regelungsinhalte: regelmäßige Wochenenden, Tage unter
der Woche, Ferienbesuchsrecht, Feiertagsbesuchsrecht, Regelung der
Geburtstage, Muttertag, Vatertag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Bereitschaft der Eltern, die Regelung allenfalls an veränderte
Umstände anzupassen, ist von großer Wichtigkeit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Hohes Maß an Flexibilität ist erforderlich</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Modalitäten: Abhol- und Zurückbringzeiten genau festlegen,
maximale Wartezeit auf Besuchsberechtigten, allenfalls Verfall des
Besuchsrechts bei Nichtausübung</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Kindesunterhalt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Zahlungen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(es empfiehlt sich die
Überweisung auf ein Konto)</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Rückstände + allenfalls Zahlungsvereinbarung über den
Rückstand</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 der Unterhaltsberechnung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Familienbeihilfenbezug (allenfalls Änderung der
Bezugsberechtigung; Anrechnung)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wie Unterhalt bemessen wurde (§ 231 ABGB)</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wer Familienbonus beziehen soll</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Schad- und Klaglosvereinbarung zwischen den Elternteilen
möglich, sofern die Vereinbarung darüber im Rahmen einer
umfassenden Regelung der Folgen einer Trennung vor Gericht
geschlossen wird. Dadurch wird berücksichtigt, dass Schad- und
Klagloshaltungen meist mit einer weitreichenden Regelung der
vermögensrechtlichen Folgen einer Trennung zusammenhängen und daher
regelmäßig entsprechend abgegolten werden.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wer allenfalls vorhandenen Bausparvertrag bedient
(Anrechnung auf Unterhalt ja/nein)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Sonderbedarf</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Gerichtliche Vereinbarung über die Höhe des Unterhaltes ist
auch ohne gerichtliche Genehmigung wirksam und vollstreckbar und
für den Unterhaltsverpflichteten verbindlich</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Verzicht ist weiterhin nicht zulässig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 ist an die Vereinbarung nicht gebunden, kann jederzeit
Erhöhung geltend machen, dies auch ohne Änderung der der
Vereinbarung zugrunde liegenden Umstände</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Eheliches Gebrauchsvermögen, eheliche Ersparnisse und
Schulden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Ehewohnung/eheliches Haus im Eigentum: klären, wem die Wohnung
bzw das Haus künftig alleine gehören soll. Miteigentum nach der
Scheidung wenn möglich vermeiden (Konfliktpotenzial!)</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Übertragung von Eigentum: Rangordnungsbeschluss
erwirken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Zeitpunkt für Übergang der Kosten für Ehewohnung fixieren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Betriebskostenrückstände, Betriebskostenguthaben udgl
klären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über Kosten, Gebühren, Steuern und Abgaben, die im
Zusammenhang mit Liegenschaftsübertragung anfallen, treffen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Räumungsvereinbarung treffen, allenfalls Verzicht auf
Räumungsaufschub</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Mitnahme Gegenstände klären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gemietet: Erklärung in den Scheidungsvergleich
aufnehmen, dass der Ehegatte, der auszieht, fristgerecht sämtliche
Erklärungen gegenüber dem Vermieter abgibt, die zur Übertragung der
Mietrechte notwendig sind</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Regeln, wer eine hinterlegte Kaution erhält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Liste über Gegenstände anfertigen, die der ausziehende Ehegatte
mitnehmen darf. Die Gegenstände möglichst genau beschreiben, da
allenfalls Exekution geführt werden muss</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Frist für Abholung der Gegenstände vereinbaren; allenfalls
Recht auf Entsorgung der Gegenstände bei nicht fristgerechter
Abholung bzw Übergang in das Eigentum des anderen; Kostenregelung
für allenfalls notwendige Entsorgung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Pkw, allenfalls Eigentumsübertragung;
Leasingfahrzeug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Herausgabepflicht für die Fahrzeugpapiere terminlich
fixieren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Haushaltsversicherung, Gebäudeversicherung etc: Übertragung und
allenfalls Zustimmungserklärung regeln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Aufteilung Sparbücher</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Lebensversicherungen: überprüfen, ob für den Übergang
Erklärungen des ausscheidenden Ehepartners notwendig sind</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Schulden: Wer haftet? Kredite, Bankkonten, Leasingverträge
etc</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Antrag Ausfallsbürgschaft (am besten gleich im
Scheidungsvergleich beantragen)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Ausgleichzahlung: Höhe, Fälligkeit, Zahlungsmodalitäten
(Raten), Zinsen, Terminsverlust</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Ausgleichszahlung allenfalls an eine Bedingung knüpfen
(fristgerechte Räumung etc), Pfandrecht zur Absicherung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Abgeltung Miterwerb im Betrieb des anderen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 der einvernehmlichen Ehescheidung: Gerichtskosten,
Anwaltskosten</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 95 Abs 1a AußStrG</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Abschluss oder Vorlage einer Regelung der Scheidungsfolgen
bei Gericht haben die Parteien zu bescheinigen, dass sie sich über
die spezifischen aus der Scheidung resultierenden Bedürfnisse ihrer
minderjährigen Kinder bei einer geeigneten Person oder Einrichtung
haben beraten lassen.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Geeignete Personen oder Einrichtungen können sowohl die
etablierten Familienberatungsstellen als auch freiberuflich tätige
Psychologen und Pädagogen sein.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Einzelberatung der Eltern ist nicht erforderlich. Da eine
allgemeine Information über die mit einer Ehescheidung verbundenen
Folgen für minderjährige Kinder im Vordergrund steht, ist es auch
möglich, dass mehrere Elternpaare eine derartige Beratung gemeinsam
in Anspruch nehmen und dadurch die Kosten aufgeteilt werden.</w:t>
      </w:r>
    </w:p>
    <w:p>
      <w:pPr>
        <w:numPr>
          <w:ilvl w:val="0"/>
          <w:numId w:val="65236679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Notwendige Dokumente (im Original vorzulegen)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Heiratsurkunde</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Staatsbürgerschaftsnachweise der Ehegatten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Ehegatten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Lichtbildausweise der Ehegatten</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Kinder</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Geburtsurkunden der gemeinsamen Kinder</w:t>
      </w:r>
    </w:p>
    <w:p>
      <w:pPr>
        <w:numPr>
          <w:ilvl w:val="1"/>
          <w:numId w:val="6523667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Bestätigung gem § 95 Abs 1a AußStrG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366790">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260661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662703">
    <w:multiLevelType w:val="hybridMultilevel"/>
    <w:lvl w:ilvl="0" w:tplc="92974836">
      <w:start w:val="1"/>
      <w:numFmt w:val="decimal"/>
      <w:lvlText w:val="%1."/>
      <w:lvlJc w:val="left"/>
      <w:pPr>
        <w:ind w:left="720" w:hanging="360"/>
      </w:pPr>
    </w:lvl>
    <w:lvl w:ilvl="1" w:tplc="92974836" w:tentative="1">
      <w:start w:val="1"/>
      <w:numFmt w:val="lowerLetter"/>
      <w:lvlText w:val="%2."/>
      <w:lvlJc w:val="left"/>
      <w:pPr>
        <w:ind w:left="1440" w:hanging="360"/>
      </w:pPr>
    </w:lvl>
    <w:lvl w:ilvl="2" w:tplc="92974836" w:tentative="1">
      <w:start w:val="1"/>
      <w:numFmt w:val="lowerRoman"/>
      <w:lvlText w:val="%3."/>
      <w:lvlJc w:val="right"/>
      <w:pPr>
        <w:ind w:left="2160" w:hanging="180"/>
      </w:pPr>
    </w:lvl>
    <w:lvl w:ilvl="3" w:tplc="92974836" w:tentative="1">
      <w:start w:val="1"/>
      <w:numFmt w:val="decimal"/>
      <w:lvlText w:val="%4."/>
      <w:lvlJc w:val="left"/>
      <w:pPr>
        <w:ind w:left="2880" w:hanging="360"/>
      </w:pPr>
    </w:lvl>
    <w:lvl w:ilvl="4" w:tplc="92974836" w:tentative="1">
      <w:start w:val="1"/>
      <w:numFmt w:val="lowerLetter"/>
      <w:lvlText w:val="%5."/>
      <w:lvlJc w:val="left"/>
      <w:pPr>
        <w:ind w:left="3600" w:hanging="360"/>
      </w:pPr>
    </w:lvl>
    <w:lvl w:ilvl="5" w:tplc="92974836" w:tentative="1">
      <w:start w:val="1"/>
      <w:numFmt w:val="lowerRoman"/>
      <w:lvlText w:val="%6."/>
      <w:lvlJc w:val="right"/>
      <w:pPr>
        <w:ind w:left="4320" w:hanging="180"/>
      </w:pPr>
    </w:lvl>
    <w:lvl w:ilvl="6" w:tplc="92974836" w:tentative="1">
      <w:start w:val="1"/>
      <w:numFmt w:val="decimal"/>
      <w:lvlText w:val="%7."/>
      <w:lvlJc w:val="left"/>
      <w:pPr>
        <w:ind w:left="5040" w:hanging="360"/>
      </w:pPr>
    </w:lvl>
    <w:lvl w:ilvl="7" w:tplc="92974836" w:tentative="1">
      <w:start w:val="1"/>
      <w:numFmt w:val="lowerLetter"/>
      <w:lvlText w:val="%8."/>
      <w:lvlJc w:val="left"/>
      <w:pPr>
        <w:ind w:left="5760" w:hanging="360"/>
      </w:pPr>
    </w:lvl>
    <w:lvl w:ilvl="8" w:tplc="92974836" w:tentative="1">
      <w:start w:val="1"/>
      <w:numFmt w:val="lowerRoman"/>
      <w:lvlText w:val="%9."/>
      <w:lvlJc w:val="right"/>
      <w:pPr>
        <w:ind w:left="6480" w:hanging="180"/>
      </w:pPr>
    </w:lvl>
  </w:abstractNum>
  <w:abstractNum w:abstractNumId="88662702">
    <w:multiLevelType w:val="hybridMultilevel"/>
    <w:lvl w:ilvl="0" w:tplc="89880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62702">
    <w:abstractNumId w:val="88662702"/>
  </w:num>
  <w:num w:numId="88662703">
    <w:abstractNumId w:val="88662703"/>
  </w:num>
  <w:num w:numId="392606618">
    <w:abstractNumId w:val="392606618"/>
  </w:num>
  <w:num w:numId="652366790">
    <w:abstractNumId w:val="652366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92075929" Type="http://schemas.openxmlformats.org/officeDocument/2006/relationships/numbering" Target="numbering.xml"/><Relationship Id="rId64117659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