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2277028" w:name="document"/>
    <w:bookmarkEnd w:id="52277028"/>
    <w:p/>
    <w:p>
      <w:pPr>
        <w:widowControl w:val="on"/>
        <w:pBdr/>
        <w:spacing w:before="0" w:after="280" w:line="240" w:lineRule="auto"/>
        <w:ind w:left="0" w:right="0"/>
        <w:jc w:val="left"/>
      </w:pPr>
      <w:r>
        <w:rPr>
          <w:rFonts w:ascii="Arial" w:hAnsi="Arial" w:eastAsia="Arial" w:cs="Arial"/>
          <w:color w:val="363A40"/>
          <w:sz w:val="24"/>
          <w:szCs w:val="24"/>
        </w:rPr>
        <w:t xml:space="preserve">Dokument-ID: 1043452 | Andrea Futterknecht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Aufteilungsvergleich nach § 55-Scheidung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Marianne Muster</w:t>
      </w:r>
      <w:r>
        <w:rPr>
          <w:rFonts w:ascii="Arial" w:hAnsi="Arial" w:eastAsia="Arial" w:cs="Arial"/>
          <w:color w:val="000000"/>
          <w:sz w:val="20"/>
          <w:szCs w:val="20"/>
        </w:rPr>
        <w:br/>
        <w:t xml:space="preserve">geb 31.12.1959</w:t>
      </w:r>
      <w:r>
        <w:rPr>
          <w:rFonts w:ascii="Arial" w:hAnsi="Arial" w:eastAsia="Arial" w:cs="Arial"/>
          <w:color w:val="000000"/>
          <w:sz w:val="20"/>
          <w:szCs w:val="20"/>
        </w:rPr>
        <w:br/>
        <w:t xml:space="preserve">Exempelplatz 1/17</w:t>
      </w:r>
      <w:r>
        <w:rPr>
          <w:rFonts w:ascii="Arial" w:hAnsi="Arial" w:eastAsia="Arial" w:cs="Arial"/>
          <w:color w:val="000000"/>
          <w:sz w:val="20"/>
          <w:szCs w:val="20"/>
        </w:rPr>
        <w:br/>
        <w:t xml:space="preserve">1160 Wien</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Dr. Martin Muster</w:t>
      </w:r>
      <w:r>
        <w:rPr>
          <w:rFonts w:ascii="Arial" w:hAnsi="Arial" w:eastAsia="Arial" w:cs="Arial"/>
          <w:color w:val="000000"/>
          <w:sz w:val="20"/>
          <w:szCs w:val="20"/>
        </w:rPr>
        <w:br/>
        <w:t xml:space="preserve">geb 19.09.1959</w:t>
      </w:r>
      <w:r>
        <w:rPr>
          <w:rFonts w:ascii="Arial" w:hAnsi="Arial" w:eastAsia="Arial" w:cs="Arial"/>
          <w:color w:val="000000"/>
          <w:sz w:val="20"/>
          <w:szCs w:val="20"/>
        </w:rPr>
        <w:br/>
        <w:t xml:space="preserve">Exempelplatz 1/17</w:t>
      </w:r>
      <w:r>
        <w:rPr>
          <w:rFonts w:ascii="Arial" w:hAnsi="Arial" w:eastAsia="Arial" w:cs="Arial"/>
          <w:color w:val="000000"/>
          <w:sz w:val="20"/>
          <w:szCs w:val="20"/>
        </w:rPr>
        <w:br/>
        <w:t xml:space="preserve">1170 Wien</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1. Ehewohnung</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1.1 Grundbuchstand</w:t>
      </w:r>
    </w:p>
    <w:p>
      <w:pPr>
        <w:widowControl w:val="on"/>
        <w:pBdr/>
        <w:spacing w:before="140" w:after="240" w:line="288" w:lineRule="auto"/>
        <w:ind w:left="0" w:right="0"/>
        <w:jc w:val="left"/>
      </w:pPr>
      <w:r>
        <w:rPr>
          <w:rFonts w:ascii="Arial" w:hAnsi="Arial" w:eastAsia="Arial" w:cs="Arial"/>
          <w:color w:val="000000"/>
          <w:sz w:val="20"/>
          <w:szCs w:val="20"/>
        </w:rPr>
        <w:t xml:space="preserve">Bei der Ehewohnung handelt es sich um eine Eigentumswohnung mit
der Anschrift Beispielweg 122/11, 1170 Wien. Die Parteien sind
gemeinsam Eigentümer.</w:t>
      </w:r>
    </w:p>
    <w:p>
      <w:pPr>
        <w:widowControl w:val="on"/>
        <w:pBdr/>
        <w:spacing w:before="140" w:after="240" w:line="288" w:lineRule="auto"/>
        <w:ind w:left="0" w:right="0"/>
        <w:jc w:val="left"/>
      </w:pPr>
      <w:r>
        <w:rPr>
          <w:rFonts w:ascii="Arial" w:hAnsi="Arial" w:eastAsia="Arial" w:cs="Arial"/>
          <w:color w:val="000000"/>
          <w:sz w:val="20"/>
          <w:szCs w:val="20"/>
        </w:rPr>
        <w:t xml:space="preserve">Der Grundbuchsstand stellt sich wie folgt dar:</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KATASTRALGEMEINDE 01234 Beispielhausen EINLAGEZAHL 123</w:t>
      </w:r>
    </w:p>
    <w:p>
      <w:pPr>
        <w:widowControl w:val="on"/>
        <w:pBdr/>
        <w:spacing w:before="140" w:after="240" w:line="288" w:lineRule="auto"/>
        <w:ind w:left="0" w:right="0"/>
        <w:jc w:val="left"/>
      </w:pPr>
      <w:r>
        <w:rPr>
          <w:rFonts w:ascii="Arial" w:hAnsi="Arial" w:eastAsia="Arial" w:cs="Arial"/>
          <w:color w:val="000000"/>
          <w:sz w:val="20"/>
          <w:szCs w:val="20"/>
        </w:rPr>
        <w:t xml:space="preserve">BEZIRKSGERICHT Hernals</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Eingeschränkter Auszug</w:t>
      </w:r>
    </w:p>
    <w:p>
      <w:pPr>
        <w:widowControl w:val="on"/>
        <w:pBdr/>
        <w:spacing w:before="140" w:after="240" w:line="288" w:lineRule="auto"/>
        <w:ind w:left="0" w:right="0"/>
        <w:jc w:val="left"/>
      </w:pPr>
      <w:r>
        <w:rPr>
          <w:rFonts w:ascii="Arial" w:hAnsi="Arial" w:eastAsia="Arial" w:cs="Arial"/>
          <w:color w:val="000000"/>
          <w:sz w:val="20"/>
          <w:szCs w:val="20"/>
        </w:rPr>
        <w:t xml:space="preserve">B-Blatt eingeschränkt auf Eigentümernamen</w:t>
      </w:r>
    </w:p>
    <w:p>
      <w:pPr>
        <w:widowControl w:val="on"/>
        <w:pBdr/>
        <w:spacing w:before="140" w:after="240" w:line="288" w:lineRule="auto"/>
        <w:ind w:left="0" w:right="0"/>
        <w:jc w:val="left"/>
      </w:pPr>
      <w:r>
        <w:rPr>
          <w:rFonts w:ascii="Arial" w:hAnsi="Arial" w:eastAsia="Arial" w:cs="Arial"/>
          <w:color w:val="000000"/>
          <w:sz w:val="20"/>
          <w:szCs w:val="20"/>
        </w:rPr>
        <w:t xml:space="preserve">Name 1: Muster</w:t>
      </w:r>
    </w:p>
    <w:p>
      <w:pPr>
        <w:widowControl w:val="on"/>
        <w:pBdr/>
        <w:spacing w:before="140" w:after="240" w:line="288" w:lineRule="auto"/>
        <w:ind w:left="0" w:right="0"/>
        <w:jc w:val="left"/>
      </w:pPr>
      <w:r>
        <w:rPr>
          <w:rFonts w:ascii="Arial" w:hAnsi="Arial" w:eastAsia="Arial" w:cs="Arial"/>
          <w:color w:val="000000"/>
          <w:sz w:val="20"/>
          <w:szCs w:val="20"/>
        </w:rPr>
        <w:t xml:space="preserve">C-Blatt eingeschränkt auf Belastungen für das angezeigte
B-Blatt</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Letzte TZ 123/2018</w:t>
      </w:r>
    </w:p>
    <w:p>
      <w:pPr>
        <w:widowControl w:val="on"/>
        <w:pBdr/>
        <w:spacing w:before="140" w:after="240" w:line="288" w:lineRule="auto"/>
        <w:ind w:left="0" w:right="0"/>
        <w:jc w:val="left"/>
      </w:pPr>
      <w:r>
        <w:rPr>
          <w:rFonts w:ascii="Arial" w:hAnsi="Arial" w:eastAsia="Arial" w:cs="Arial"/>
          <w:color w:val="000000"/>
          <w:sz w:val="20"/>
          <w:szCs w:val="20"/>
        </w:rPr>
        <w:t xml:space="preserve">WOHNUNGSEIGENTUM</w:t>
      </w:r>
    </w:p>
    <w:p>
      <w:pPr>
        <w:widowControl w:val="on"/>
        <w:pBdr/>
        <w:spacing w:before="140" w:after="240" w:line="288" w:lineRule="auto"/>
        <w:ind w:left="0" w:right="0"/>
        <w:jc w:val="left"/>
      </w:pPr>
      <w:r>
        <w:rPr>
          <w:rFonts w:ascii="Arial" w:hAnsi="Arial" w:eastAsia="Arial" w:cs="Arial"/>
          <w:color w:val="000000"/>
          <w:sz w:val="20"/>
          <w:szCs w:val="20"/>
        </w:rPr>
        <w:t xml:space="preserve">Einlage umgeschrieben gemäß Verordnung BGBl II 143/2012 am
07.05.2012</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GST-NR G BA (NUTZUNG) FLÄCHE GST-ADRESSE</w:t>
      </w:r>
    </w:p>
    <w:p>
      <w:pPr>
        <w:widowControl w:val="on"/>
        <w:pBdr/>
        <w:spacing w:before="140" w:after="240" w:line="288" w:lineRule="auto"/>
        <w:ind w:left="0" w:right="0"/>
        <w:jc w:val="left"/>
      </w:pPr>
      <w:r>
        <w:rPr>
          <w:rFonts w:ascii="Arial" w:hAnsi="Arial" w:eastAsia="Arial" w:cs="Arial"/>
          <w:color w:val="000000"/>
          <w:sz w:val="20"/>
          <w:szCs w:val="20"/>
        </w:rPr>
        <w:t xml:space="preserve">2363/18 G GST-Fläche * 10987</w:t>
      </w:r>
    </w:p>
    <w:p>
      <w:pPr>
        <w:widowControl w:val="on"/>
        <w:pBdr/>
        <w:spacing w:before="140" w:after="240" w:line="288" w:lineRule="auto"/>
        <w:ind w:left="0" w:right="0"/>
        <w:jc w:val="left"/>
      </w:pPr>
      <w:r>
        <w:rPr>
          <w:rFonts w:ascii="Arial" w:hAnsi="Arial" w:eastAsia="Arial" w:cs="Arial"/>
          <w:color w:val="000000"/>
          <w:sz w:val="20"/>
          <w:szCs w:val="20"/>
        </w:rPr>
        <w:t xml:space="preserve">Bauf (10) 6543</w:t>
      </w:r>
    </w:p>
    <w:p>
      <w:pPr>
        <w:widowControl w:val="on"/>
        <w:pBdr/>
        <w:spacing w:before="140" w:after="240" w:line="288" w:lineRule="auto"/>
        <w:ind w:left="0" w:right="0"/>
        <w:jc w:val="left"/>
      </w:pPr>
      <w:r>
        <w:rPr>
          <w:rFonts w:ascii="Arial" w:hAnsi="Arial" w:eastAsia="Arial" w:cs="Arial"/>
          <w:color w:val="000000"/>
          <w:sz w:val="20"/>
          <w:szCs w:val="20"/>
        </w:rPr>
        <w:t xml:space="preserve">Sonst (50) 1234 Exempelplatz 1</w:t>
      </w:r>
    </w:p>
    <w:p>
      <w:pPr>
        <w:widowControl w:val="on"/>
        <w:pBdr/>
        <w:spacing w:before="140" w:after="240" w:line="288" w:lineRule="auto"/>
        <w:ind w:left="0" w:right="0"/>
        <w:jc w:val="left"/>
      </w:pPr>
      <w:r>
        <w:rPr>
          <w:rFonts w:ascii="Arial" w:hAnsi="Arial" w:eastAsia="Arial" w:cs="Arial"/>
          <w:color w:val="000000"/>
          <w:sz w:val="20"/>
          <w:szCs w:val="20"/>
        </w:rPr>
        <w:t xml:space="preserve">Exempelgasse 2–4</w:t>
      </w:r>
    </w:p>
    <w:p>
      <w:pPr>
        <w:widowControl w:val="on"/>
        <w:pBdr/>
        <w:spacing w:before="140" w:after="240" w:line="288" w:lineRule="auto"/>
        <w:ind w:left="0" w:right="0"/>
        <w:jc w:val="left"/>
      </w:pPr>
      <w:r>
        <w:rPr>
          <w:rFonts w:ascii="Arial" w:hAnsi="Arial" w:eastAsia="Arial" w:cs="Arial"/>
          <w:color w:val="000000"/>
          <w:sz w:val="20"/>
          <w:szCs w:val="20"/>
        </w:rPr>
        <w:t xml:space="preserve">3577/67 G GST-Fläche * 1234</w:t>
      </w:r>
    </w:p>
    <w:p>
      <w:pPr>
        <w:widowControl w:val="on"/>
        <w:pBdr/>
        <w:spacing w:before="140" w:after="240" w:line="288" w:lineRule="auto"/>
        <w:ind w:left="0" w:right="0"/>
        <w:jc w:val="left"/>
      </w:pPr>
      <w:r>
        <w:rPr>
          <w:rFonts w:ascii="Arial" w:hAnsi="Arial" w:eastAsia="Arial" w:cs="Arial"/>
          <w:color w:val="000000"/>
          <w:sz w:val="20"/>
          <w:szCs w:val="20"/>
        </w:rPr>
        <w:t xml:space="preserve">Bauf (10) 432</w:t>
      </w:r>
    </w:p>
    <w:p>
      <w:pPr>
        <w:widowControl w:val="on"/>
        <w:pBdr/>
        <w:spacing w:before="140" w:after="240" w:line="288" w:lineRule="auto"/>
        <w:ind w:left="0" w:right="0"/>
        <w:jc w:val="left"/>
      </w:pPr>
      <w:r>
        <w:rPr>
          <w:rFonts w:ascii="Arial" w:hAnsi="Arial" w:eastAsia="Arial" w:cs="Arial"/>
          <w:color w:val="000000"/>
          <w:sz w:val="20"/>
          <w:szCs w:val="20"/>
        </w:rPr>
        <w:t xml:space="preserve">Legende:</w:t>
      </w:r>
    </w:p>
    <w:p>
      <w:pPr>
        <w:widowControl w:val="on"/>
        <w:pBdr/>
        <w:spacing w:before="140" w:after="240" w:line="288" w:lineRule="auto"/>
        <w:ind w:left="0" w:right="0"/>
        <w:jc w:val="left"/>
      </w:pPr>
      <w:r>
        <w:rPr>
          <w:rFonts w:ascii="Arial" w:hAnsi="Arial" w:eastAsia="Arial" w:cs="Arial"/>
          <w:color w:val="000000"/>
          <w:sz w:val="20"/>
          <w:szCs w:val="20"/>
        </w:rPr>
        <w:t xml:space="preserve">G: Grundstück im Grenzkataster</w:t>
      </w:r>
    </w:p>
    <w:p>
      <w:pPr>
        <w:widowControl w:val="on"/>
        <w:pBdr/>
        <w:spacing w:before="140" w:after="240" w:line="288" w:lineRule="auto"/>
        <w:ind w:left="0" w:right="0"/>
        <w:jc w:val="left"/>
      </w:pPr>
      <w:r>
        <w:rPr>
          <w:rFonts w:ascii="Arial" w:hAnsi="Arial" w:eastAsia="Arial" w:cs="Arial"/>
          <w:color w:val="000000"/>
          <w:sz w:val="20"/>
          <w:szCs w:val="20"/>
        </w:rPr>
        <w:t xml:space="preserve">*: Fläche rechnerisch ermittelt</w:t>
      </w:r>
    </w:p>
    <w:p>
      <w:pPr>
        <w:widowControl w:val="on"/>
        <w:pBdr/>
        <w:spacing w:before="140" w:after="240" w:line="288" w:lineRule="auto"/>
        <w:ind w:left="0" w:right="0"/>
        <w:jc w:val="left"/>
      </w:pPr>
      <w:r>
        <w:rPr>
          <w:rFonts w:ascii="Arial" w:hAnsi="Arial" w:eastAsia="Arial" w:cs="Arial"/>
          <w:color w:val="000000"/>
          <w:sz w:val="20"/>
          <w:szCs w:val="20"/>
        </w:rPr>
        <w:t xml:space="preserve">Bauf (10): Bauflächen (Gebäude)</w:t>
      </w:r>
    </w:p>
    <w:p>
      <w:pPr>
        <w:widowControl w:val="on"/>
        <w:pBdr/>
        <w:spacing w:before="140" w:after="240" w:line="288" w:lineRule="auto"/>
        <w:ind w:left="0" w:right="0"/>
        <w:jc w:val="left"/>
      </w:pPr>
      <w:r>
        <w:rPr>
          <w:rFonts w:ascii="Arial" w:hAnsi="Arial" w:eastAsia="Arial" w:cs="Arial"/>
          <w:color w:val="000000"/>
          <w:sz w:val="20"/>
          <w:szCs w:val="20"/>
        </w:rPr>
        <w:t xml:space="preserve">Bauf (20): Bauflächen (Gebäudenebenflächen)</w:t>
      </w:r>
    </w:p>
    <w:p>
      <w:pPr>
        <w:widowControl w:val="on"/>
        <w:pBdr/>
        <w:spacing w:before="140" w:after="240" w:line="288" w:lineRule="auto"/>
        <w:ind w:left="0" w:right="0"/>
        <w:jc w:val="left"/>
      </w:pPr>
      <w:r>
        <w:rPr>
          <w:rFonts w:ascii="Arial" w:hAnsi="Arial" w:eastAsia="Arial" w:cs="Arial"/>
          <w:color w:val="000000"/>
          <w:sz w:val="20"/>
          <w:szCs w:val="20"/>
        </w:rPr>
        <w:t xml:space="preserve">Gärten (10): Gärten (Gärten)</w:t>
      </w:r>
    </w:p>
    <w:p>
      <w:pPr>
        <w:widowControl w:val="on"/>
        <w:pBdr/>
        <w:spacing w:before="140" w:after="240" w:line="288" w:lineRule="auto"/>
        <w:ind w:left="0" w:right="0"/>
        <w:jc w:val="left"/>
      </w:pPr>
      <w:r>
        <w:rPr>
          <w:rFonts w:ascii="Arial" w:hAnsi="Arial" w:eastAsia="Arial" w:cs="Arial"/>
          <w:color w:val="000000"/>
          <w:sz w:val="20"/>
          <w:szCs w:val="20"/>
        </w:rPr>
        <w:t xml:space="preserve">Sonst (10): Sonstige (Straßenverkehrsanlagen)</w:t>
      </w:r>
    </w:p>
    <w:p>
      <w:pPr>
        <w:widowControl w:val="on"/>
        <w:pBdr/>
        <w:spacing w:before="140" w:after="240" w:line="288" w:lineRule="auto"/>
        <w:ind w:left="0" w:right="0"/>
        <w:jc w:val="left"/>
      </w:pPr>
      <w:r>
        <w:rPr>
          <w:rFonts w:ascii="Arial" w:hAnsi="Arial" w:eastAsia="Arial" w:cs="Arial"/>
          <w:color w:val="000000"/>
          <w:sz w:val="20"/>
          <w:szCs w:val="20"/>
        </w:rPr>
        <w:t xml:space="preserve">Sonst (50): Sonstige (Betriebsflächen)</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3 a 345/1999 Zuschreibung Teilfläche(n) Gst 1234/1 2345 aus EZ
345</w:t>
      </w:r>
    </w:p>
    <w:p>
      <w:pPr>
        <w:widowControl w:val="on"/>
        <w:pBdr/>
        <w:spacing w:before="140" w:after="240" w:line="288" w:lineRule="auto"/>
        <w:ind w:left="0" w:right="0"/>
        <w:jc w:val="left"/>
      </w:pPr>
      <w:r>
        <w:rPr>
          <w:rFonts w:ascii="Arial" w:hAnsi="Arial" w:eastAsia="Arial" w:cs="Arial"/>
          <w:color w:val="000000"/>
          <w:sz w:val="20"/>
          <w:szCs w:val="20"/>
        </w:rPr>
        <w:t xml:space="preserve">4 a 594/1999 Zuschreibung Gst 3577/66 aus EZ 456</w:t>
      </w:r>
    </w:p>
    <w:p>
      <w:pPr>
        <w:widowControl w:val="on"/>
        <w:pBdr/>
        <w:spacing w:before="140" w:after="240" w:line="288" w:lineRule="auto"/>
        <w:ind w:left="0" w:right="0"/>
        <w:jc w:val="left"/>
      </w:pPr>
      <w:r>
        <w:rPr>
          <w:rFonts w:ascii="Arial" w:hAnsi="Arial" w:eastAsia="Arial" w:cs="Arial"/>
          <w:color w:val="000000"/>
          <w:sz w:val="20"/>
          <w:szCs w:val="20"/>
        </w:rPr>
        <w:t xml:space="preserve">5 a 594/1996 Zuschreibung Teilfläche(n) Gst 4277/5 aus EZ 234,
Einbeziehung</w:t>
      </w:r>
    </w:p>
    <w:p>
      <w:pPr>
        <w:widowControl w:val="on"/>
        <w:pBdr/>
        <w:spacing w:before="140" w:after="240" w:line="288" w:lineRule="auto"/>
        <w:ind w:left="0" w:right="0"/>
        <w:jc w:val="left"/>
      </w:pPr>
      <w:r>
        <w:rPr>
          <w:rFonts w:ascii="Arial" w:hAnsi="Arial" w:eastAsia="Arial" w:cs="Arial"/>
          <w:color w:val="000000"/>
          <w:sz w:val="20"/>
          <w:szCs w:val="20"/>
        </w:rPr>
        <w:t xml:space="preserve">in Gst 3577/67</w:t>
      </w:r>
    </w:p>
    <w:p>
      <w:pPr>
        <w:widowControl w:val="on"/>
        <w:pBdr/>
        <w:spacing w:before="140" w:after="240" w:line="288" w:lineRule="auto"/>
        <w:ind w:left="0" w:right="0"/>
        <w:jc w:val="left"/>
      </w:pPr>
      <w:r>
        <w:rPr>
          <w:rFonts w:ascii="Arial" w:hAnsi="Arial" w:eastAsia="Arial" w:cs="Arial"/>
          <w:color w:val="000000"/>
          <w:sz w:val="20"/>
          <w:szCs w:val="20"/>
        </w:rPr>
        <w:t xml:space="preserve">8 a 123/1986 Recht des Fuß- und Fahrweges über Gst</w:t>
      </w:r>
    </w:p>
    <w:p>
      <w:pPr>
        <w:widowControl w:val="on"/>
        <w:pBdr/>
        <w:spacing w:before="140" w:after="240" w:line="288" w:lineRule="auto"/>
        <w:ind w:left="0" w:right="0"/>
        <w:jc w:val="left"/>
      </w:pPr>
      <w:r>
        <w:rPr>
          <w:rFonts w:ascii="Arial" w:hAnsi="Arial" w:eastAsia="Arial" w:cs="Arial"/>
          <w:color w:val="000000"/>
          <w:sz w:val="20"/>
          <w:szCs w:val="20"/>
        </w:rPr>
        <w:t xml:space="preserve">2363/18 2363/19 2363/21 2363/25 gem Pkt 12
Schenkungsvertrag 1986-02-02 für</w:t>
      </w:r>
    </w:p>
    <w:p>
      <w:pPr>
        <w:widowControl w:val="on"/>
        <w:pBdr/>
        <w:spacing w:before="140" w:after="240" w:line="288" w:lineRule="auto"/>
        <w:ind w:left="0" w:right="0"/>
        <w:jc w:val="left"/>
      </w:pPr>
      <w:r>
        <w:rPr>
          <w:rFonts w:ascii="Arial" w:hAnsi="Arial" w:eastAsia="Arial" w:cs="Arial"/>
          <w:color w:val="000000"/>
          <w:sz w:val="20"/>
          <w:szCs w:val="20"/>
        </w:rPr>
        <w:t xml:space="preserve">jeweiligen Eigentümer Gst 3577/67</w:t>
      </w:r>
    </w:p>
    <w:p>
      <w:pPr>
        <w:widowControl w:val="on"/>
        <w:pBdr/>
        <w:spacing w:before="140" w:after="240" w:line="288" w:lineRule="auto"/>
        <w:ind w:left="0" w:right="0"/>
        <w:jc w:val="left"/>
      </w:pPr>
      <w:r>
        <w:rPr>
          <w:rFonts w:ascii="Arial" w:hAnsi="Arial" w:eastAsia="Arial" w:cs="Arial"/>
          <w:color w:val="000000"/>
          <w:sz w:val="20"/>
          <w:szCs w:val="20"/>
        </w:rPr>
        <w:t xml:space="preserve">b 543/1999 Übertragung der vorangehenden Eintragung(en) aus EZ
456</w:t>
      </w:r>
    </w:p>
    <w:p>
      <w:pPr>
        <w:widowControl w:val="on"/>
        <w:pBdr/>
        <w:spacing w:before="140" w:after="240" w:line="288" w:lineRule="auto"/>
        <w:ind w:left="0" w:right="0"/>
        <w:jc w:val="left"/>
      </w:pPr>
      <w:r>
        <w:rPr>
          <w:rFonts w:ascii="Arial" w:hAnsi="Arial" w:eastAsia="Arial" w:cs="Arial"/>
          <w:color w:val="000000"/>
          <w:sz w:val="20"/>
          <w:szCs w:val="20"/>
        </w:rPr>
        <w:t xml:space="preserve">23 a 123/2000 Bauplatz (auf) Gst 2363/18 (Bauplatz 2)</w:t>
      </w:r>
    </w:p>
    <w:p>
      <w:pPr>
        <w:widowControl w:val="on"/>
        <w:pBdr/>
        <w:spacing w:before="140" w:after="240" w:line="288" w:lineRule="auto"/>
        <w:ind w:left="0" w:right="0"/>
        <w:jc w:val="left"/>
      </w:pPr>
      <w:r>
        <w:rPr>
          <w:rFonts w:ascii="Arial" w:hAnsi="Arial" w:eastAsia="Arial" w:cs="Arial"/>
          <w:color w:val="000000"/>
          <w:sz w:val="20"/>
          <w:szCs w:val="20"/>
        </w:rPr>
        <w:t xml:space="preserve">24 a 456/2000 Verpflichtung zur Einhaltung der Verpflichtungen
laut § 53</w:t>
      </w:r>
    </w:p>
    <w:p>
      <w:pPr>
        <w:widowControl w:val="on"/>
        <w:pBdr/>
        <w:spacing w:before="140" w:after="240" w:line="288" w:lineRule="auto"/>
        <w:ind w:left="0" w:right="0"/>
        <w:jc w:val="left"/>
      </w:pPr>
      <w:r>
        <w:rPr>
          <w:rFonts w:ascii="Arial" w:hAnsi="Arial" w:eastAsia="Arial" w:cs="Arial"/>
          <w:color w:val="000000"/>
          <w:sz w:val="20"/>
          <w:szCs w:val="20"/>
        </w:rPr>
        <w:t xml:space="preserve">Abs 1 WrBO nach Pkt 2 3 Bescheid 2000-06-06 hins Gst
2363/18 3577/66</w:t>
      </w:r>
    </w:p>
    <w:p>
      <w:pPr>
        <w:widowControl w:val="on"/>
        <w:pBdr/>
        <w:spacing w:before="140" w:after="240" w:line="288" w:lineRule="auto"/>
        <w:ind w:left="0" w:right="0"/>
        <w:jc w:val="left"/>
      </w:pPr>
      <w:r>
        <w:rPr>
          <w:rFonts w:ascii="Arial" w:hAnsi="Arial" w:eastAsia="Arial" w:cs="Arial"/>
          <w:color w:val="000000"/>
          <w:sz w:val="20"/>
          <w:szCs w:val="20"/>
        </w:rPr>
        <w:t xml:space="preserve">29 a 123/2002 Kaufvertrag 2002-03-03 Zuschreibung Teilfläche(n)
Gst 3577/66</w:t>
      </w:r>
    </w:p>
    <w:p>
      <w:pPr>
        <w:widowControl w:val="on"/>
        <w:pBdr/>
        <w:spacing w:before="140" w:after="240" w:line="288" w:lineRule="auto"/>
        <w:ind w:left="0" w:right="0"/>
        <w:jc w:val="left"/>
      </w:pPr>
      <w:r>
        <w:rPr>
          <w:rFonts w:ascii="Arial" w:hAnsi="Arial" w:eastAsia="Arial" w:cs="Arial"/>
          <w:color w:val="000000"/>
          <w:sz w:val="20"/>
          <w:szCs w:val="20"/>
        </w:rPr>
        <w:t xml:space="preserve">aus EZ 999, Einbeziehung in Gst 3577/66</w:t>
      </w:r>
    </w:p>
    <w:p>
      <w:pPr>
        <w:widowControl w:val="on"/>
        <w:pBdr/>
        <w:spacing w:before="140" w:after="240" w:line="288" w:lineRule="auto"/>
        <w:ind w:left="0" w:right="0"/>
        <w:jc w:val="left"/>
      </w:pPr>
      <w:r>
        <w:rPr>
          <w:rFonts w:ascii="Arial" w:hAnsi="Arial" w:eastAsia="Arial" w:cs="Arial"/>
          <w:color w:val="000000"/>
          <w:sz w:val="20"/>
          <w:szCs w:val="20"/>
        </w:rPr>
        <w:t xml:space="preserve">30 a 6543/2002 3333/2016 RECHT aus Dienstbarkeit</w:t>
      </w:r>
    </w:p>
    <w:p>
      <w:pPr>
        <w:widowControl w:val="on"/>
        <w:pBdr/>
        <w:spacing w:before="140" w:after="240" w:line="288" w:lineRule="auto"/>
        <w:ind w:left="0" w:right="0"/>
        <w:jc w:val="left"/>
      </w:pPr>
      <w:r>
        <w:rPr>
          <w:rFonts w:ascii="Arial" w:hAnsi="Arial" w:eastAsia="Arial" w:cs="Arial"/>
          <w:color w:val="000000"/>
          <w:sz w:val="20"/>
          <w:szCs w:val="20"/>
        </w:rPr>
        <w:t xml:space="preserve">1) der Baubeschränkung gem Pkt 4.2.a.</w:t>
      </w:r>
    </w:p>
    <w:p>
      <w:pPr>
        <w:widowControl w:val="on"/>
        <w:pBdr/>
        <w:spacing w:before="140" w:after="240" w:line="288" w:lineRule="auto"/>
        <w:ind w:left="0" w:right="0"/>
        <w:jc w:val="left"/>
      </w:pPr>
      <w:r>
        <w:rPr>
          <w:rFonts w:ascii="Arial" w:hAnsi="Arial" w:eastAsia="Arial" w:cs="Arial"/>
          <w:color w:val="000000"/>
          <w:sz w:val="20"/>
          <w:szCs w:val="20"/>
        </w:rPr>
        <w:t xml:space="preserve">2) der Straßenbenützung gem Pkt 4.3.b.</w:t>
      </w:r>
    </w:p>
    <w:p>
      <w:pPr>
        <w:widowControl w:val="on"/>
        <w:pBdr/>
        <w:spacing w:before="140" w:after="240" w:line="288" w:lineRule="auto"/>
        <w:ind w:left="0" w:right="0"/>
        <w:jc w:val="left"/>
      </w:pPr>
      <w:r>
        <w:rPr>
          <w:rFonts w:ascii="Arial" w:hAnsi="Arial" w:eastAsia="Arial" w:cs="Arial"/>
          <w:color w:val="000000"/>
          <w:sz w:val="20"/>
          <w:szCs w:val="20"/>
        </w:rPr>
        <w:t xml:space="preserve">je Kaufvertrag 2002-03-03</w:t>
      </w:r>
    </w:p>
    <w:p>
      <w:pPr>
        <w:widowControl w:val="on"/>
        <w:pBdr/>
        <w:spacing w:before="140" w:after="240" w:line="288" w:lineRule="auto"/>
        <w:ind w:left="0" w:right="0"/>
        <w:jc w:val="left"/>
      </w:pPr>
      <w:r>
        <w:rPr>
          <w:rFonts w:ascii="Arial" w:hAnsi="Arial" w:eastAsia="Arial" w:cs="Arial"/>
          <w:color w:val="000000"/>
          <w:sz w:val="20"/>
          <w:szCs w:val="20"/>
        </w:rPr>
        <w:t xml:space="preserve">31 a 1234/2016 Verwalter der Liegenschaft</w:t>
      </w:r>
    </w:p>
    <w:p>
      <w:pPr>
        <w:widowControl w:val="on"/>
        <w:pBdr/>
        <w:spacing w:before="140" w:after="240" w:line="288" w:lineRule="auto"/>
        <w:ind w:left="0" w:right="0"/>
        <w:jc w:val="left"/>
      </w:pPr>
      <w:r>
        <w:rPr>
          <w:rFonts w:ascii="Arial" w:hAnsi="Arial" w:eastAsia="Arial" w:cs="Arial"/>
          <w:color w:val="000000"/>
          <w:sz w:val="20"/>
          <w:szCs w:val="20"/>
        </w:rPr>
        <w:t xml:space="preserve">ABC Wohnbau Gemeinnützige AG,</w:t>
      </w:r>
    </w:p>
    <w:p>
      <w:pPr>
        <w:widowControl w:val="on"/>
        <w:pBdr/>
        <w:spacing w:before="140" w:after="240" w:line="288" w:lineRule="auto"/>
        <w:ind w:left="0" w:right="0"/>
        <w:jc w:val="left"/>
      </w:pPr>
      <w:r>
        <w:rPr>
          <w:rFonts w:ascii="Arial" w:hAnsi="Arial" w:eastAsia="Arial" w:cs="Arial"/>
          <w:color w:val="000000"/>
          <w:sz w:val="20"/>
          <w:szCs w:val="20"/>
        </w:rPr>
        <w:t xml:space="preserve">Förderweg 1, 1010 Wien</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875 ANTEIL: 123/123456</w:t>
      </w:r>
    </w:p>
    <w:p>
      <w:pPr>
        <w:widowControl w:val="on"/>
        <w:pBdr/>
        <w:spacing w:before="140" w:after="240" w:line="288" w:lineRule="auto"/>
        <w:ind w:left="0" w:right="0"/>
        <w:jc w:val="left"/>
      </w:pPr>
      <w:r>
        <w:rPr>
          <w:rFonts w:ascii="Arial" w:hAnsi="Arial" w:eastAsia="Arial" w:cs="Arial"/>
          <w:color w:val="000000"/>
          <w:sz w:val="20"/>
          <w:szCs w:val="20"/>
        </w:rPr>
        <w:t xml:space="preserve">Marianne Muster</w:t>
      </w:r>
    </w:p>
    <w:p>
      <w:pPr>
        <w:widowControl w:val="on"/>
        <w:pBdr/>
        <w:spacing w:before="140" w:after="240" w:line="288" w:lineRule="auto"/>
        <w:ind w:left="0" w:right="0"/>
        <w:jc w:val="left"/>
      </w:pPr>
      <w:r>
        <w:rPr>
          <w:rFonts w:ascii="Arial" w:hAnsi="Arial" w:eastAsia="Arial" w:cs="Arial"/>
          <w:color w:val="000000"/>
          <w:sz w:val="20"/>
          <w:szCs w:val="20"/>
        </w:rPr>
        <w:t xml:space="preserve">GEB: 1959-12-31 ADR: Exempelplatz 1/17, Wien 1170</w:t>
      </w:r>
    </w:p>
    <w:p>
      <w:pPr>
        <w:widowControl w:val="on"/>
        <w:pBdr/>
        <w:spacing w:before="140" w:after="240" w:line="288" w:lineRule="auto"/>
        <w:ind w:left="0" w:right="0"/>
        <w:jc w:val="left"/>
      </w:pPr>
      <w:r>
        <w:rPr>
          <w:rFonts w:ascii="Arial" w:hAnsi="Arial" w:eastAsia="Arial" w:cs="Arial"/>
          <w:color w:val="000000"/>
          <w:sz w:val="20"/>
          <w:szCs w:val="20"/>
        </w:rPr>
        <w:t xml:space="preserve">b 8888/2007 Wohnungseigentum an W 17</w:t>
      </w:r>
    </w:p>
    <w:p>
      <w:pPr>
        <w:widowControl w:val="on"/>
        <w:pBdr/>
        <w:spacing w:before="140" w:after="240" w:line="288" w:lineRule="auto"/>
        <w:ind w:left="0" w:right="0"/>
        <w:jc w:val="left"/>
      </w:pPr>
      <w:r>
        <w:rPr>
          <w:rFonts w:ascii="Arial" w:hAnsi="Arial" w:eastAsia="Arial" w:cs="Arial"/>
          <w:color w:val="000000"/>
          <w:sz w:val="20"/>
          <w:szCs w:val="20"/>
        </w:rPr>
        <w:t xml:space="preserve">c 1234/2008 Kaufvertrag 2008-08-08 Eigentumsrecht</w:t>
      </w:r>
    </w:p>
    <w:p>
      <w:pPr>
        <w:widowControl w:val="on"/>
        <w:pBdr/>
        <w:spacing w:before="140" w:after="240" w:line="288" w:lineRule="auto"/>
        <w:ind w:left="0" w:right="0"/>
        <w:jc w:val="left"/>
      </w:pPr>
      <w:r>
        <w:rPr>
          <w:rFonts w:ascii="Arial" w:hAnsi="Arial" w:eastAsia="Arial" w:cs="Arial"/>
          <w:color w:val="000000"/>
          <w:sz w:val="20"/>
          <w:szCs w:val="20"/>
        </w:rPr>
        <w:t xml:space="preserve">d 1234/2008 Verbindung gem § 5 Abs 3, § 13
Abs 3 WEG 2002</w:t>
      </w:r>
    </w:p>
    <w:p>
      <w:pPr>
        <w:widowControl w:val="on"/>
        <w:pBdr/>
        <w:spacing w:before="140" w:after="240" w:line="288" w:lineRule="auto"/>
        <w:ind w:left="0" w:right="0"/>
        <w:jc w:val="left"/>
      </w:pPr>
      <w:r>
        <w:rPr>
          <w:rFonts w:ascii="Arial" w:hAnsi="Arial" w:eastAsia="Arial" w:cs="Arial"/>
          <w:color w:val="000000"/>
          <w:sz w:val="20"/>
          <w:szCs w:val="20"/>
        </w:rPr>
        <w:t xml:space="preserve">876 ANTEIL: 123/123456</w:t>
      </w:r>
    </w:p>
    <w:p>
      <w:pPr>
        <w:widowControl w:val="on"/>
        <w:pBdr/>
        <w:spacing w:before="140" w:after="240" w:line="288" w:lineRule="auto"/>
        <w:ind w:left="0" w:right="0"/>
        <w:jc w:val="left"/>
      </w:pPr>
      <w:r>
        <w:rPr>
          <w:rFonts w:ascii="Arial" w:hAnsi="Arial" w:eastAsia="Arial" w:cs="Arial"/>
          <w:color w:val="000000"/>
          <w:sz w:val="20"/>
          <w:szCs w:val="20"/>
        </w:rPr>
        <w:t xml:space="preserve">Dr. Martin Muster</w:t>
      </w:r>
    </w:p>
    <w:p>
      <w:pPr>
        <w:widowControl w:val="on"/>
        <w:pBdr/>
        <w:spacing w:before="140" w:after="240" w:line="288" w:lineRule="auto"/>
        <w:ind w:left="0" w:right="0"/>
        <w:jc w:val="left"/>
      </w:pPr>
      <w:r>
        <w:rPr>
          <w:rFonts w:ascii="Arial" w:hAnsi="Arial" w:eastAsia="Arial" w:cs="Arial"/>
          <w:color w:val="000000"/>
          <w:sz w:val="20"/>
          <w:szCs w:val="20"/>
        </w:rPr>
        <w:t xml:space="preserve">GEB: 1959-19-09 ADR: Exempelplatz 1/17, Wien 1170</w:t>
      </w:r>
    </w:p>
    <w:p>
      <w:pPr>
        <w:widowControl w:val="on"/>
        <w:pBdr/>
        <w:spacing w:before="140" w:after="240" w:line="288" w:lineRule="auto"/>
        <w:ind w:left="0" w:right="0"/>
        <w:jc w:val="left"/>
      </w:pPr>
      <w:r>
        <w:rPr>
          <w:rFonts w:ascii="Arial" w:hAnsi="Arial" w:eastAsia="Arial" w:cs="Arial"/>
          <w:color w:val="000000"/>
          <w:sz w:val="20"/>
          <w:szCs w:val="20"/>
        </w:rPr>
        <w:t xml:space="preserve">b 8888/2007 Wohnungseigentum an W 17</w:t>
      </w:r>
    </w:p>
    <w:p>
      <w:pPr>
        <w:widowControl w:val="on"/>
        <w:pBdr/>
        <w:spacing w:before="140" w:after="240" w:line="288" w:lineRule="auto"/>
        <w:ind w:left="0" w:right="0"/>
        <w:jc w:val="left"/>
      </w:pPr>
      <w:r>
        <w:rPr>
          <w:rFonts w:ascii="Arial" w:hAnsi="Arial" w:eastAsia="Arial" w:cs="Arial"/>
          <w:color w:val="000000"/>
          <w:sz w:val="20"/>
          <w:szCs w:val="20"/>
        </w:rPr>
        <w:t xml:space="preserve">c 1234/2008 Kaufvertrag 2008-08-08 Eigentumsrecht</w:t>
      </w:r>
    </w:p>
    <w:p>
      <w:pPr>
        <w:widowControl w:val="on"/>
        <w:pBdr/>
        <w:spacing w:before="140" w:after="240" w:line="288" w:lineRule="auto"/>
        <w:ind w:left="0" w:right="0"/>
        <w:jc w:val="left"/>
      </w:pPr>
      <w:r>
        <w:rPr>
          <w:rFonts w:ascii="Arial" w:hAnsi="Arial" w:eastAsia="Arial" w:cs="Arial"/>
          <w:color w:val="000000"/>
          <w:sz w:val="20"/>
          <w:szCs w:val="20"/>
        </w:rPr>
        <w:t xml:space="preserve">d 1234/2008 Verbindung gem § 5 Abs 3, § 13
Abs 3 WEG 2002</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C</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2 a 8888/2007 Vereinbarung über die Aufteilung der
Aufwendungen</w:t>
      </w:r>
    </w:p>
    <w:p>
      <w:pPr>
        <w:widowControl w:val="on"/>
        <w:pBdr/>
        <w:spacing w:before="140" w:after="240" w:line="288" w:lineRule="auto"/>
        <w:ind w:left="0" w:right="0"/>
        <w:jc w:val="left"/>
      </w:pPr>
      <w:r>
        <w:rPr>
          <w:rFonts w:ascii="Arial" w:hAnsi="Arial" w:eastAsia="Arial" w:cs="Arial"/>
          <w:color w:val="000000"/>
          <w:sz w:val="20"/>
          <w:szCs w:val="20"/>
        </w:rPr>
        <w:t xml:space="preserve">gem § 19 WEG (abweichender Aufteilungsschlüssel und</w:t>
      </w:r>
    </w:p>
    <w:p>
      <w:pPr>
        <w:widowControl w:val="on"/>
        <w:pBdr/>
        <w:spacing w:before="140" w:after="240" w:line="288" w:lineRule="auto"/>
        <w:ind w:left="0" w:right="0"/>
        <w:jc w:val="left"/>
      </w:pPr>
      <w:r>
        <w:rPr>
          <w:rFonts w:ascii="Arial" w:hAnsi="Arial" w:eastAsia="Arial" w:cs="Arial"/>
          <w:color w:val="000000"/>
          <w:sz w:val="20"/>
          <w:szCs w:val="20"/>
        </w:rPr>
        <w:t xml:space="preserve">abweichende Abrechnungseinheit gem § 19 Abs 2 WEG
1975)</w:t>
      </w:r>
    </w:p>
    <w:p>
      <w:pPr>
        <w:widowControl w:val="on"/>
        <w:pBdr/>
        <w:spacing w:before="140" w:after="240" w:line="288" w:lineRule="auto"/>
        <w:ind w:left="0" w:right="0"/>
        <w:jc w:val="left"/>
      </w:pPr>
      <w:r>
        <w:rPr>
          <w:rFonts w:ascii="Arial" w:hAnsi="Arial" w:eastAsia="Arial" w:cs="Arial"/>
          <w:color w:val="000000"/>
          <w:sz w:val="20"/>
          <w:szCs w:val="20"/>
        </w:rPr>
        <w:t xml:space="preserve">3 a 8888/2007 Vereinbarung über die Aufteilung der
Aufwendungen</w:t>
      </w:r>
    </w:p>
    <w:p>
      <w:pPr>
        <w:widowControl w:val="on"/>
        <w:pBdr/>
        <w:spacing w:before="140" w:after="240" w:line="288" w:lineRule="auto"/>
        <w:ind w:left="0" w:right="0"/>
        <w:jc w:val="left"/>
      </w:pPr>
      <w:r>
        <w:rPr>
          <w:rFonts w:ascii="Arial" w:hAnsi="Arial" w:eastAsia="Arial" w:cs="Arial"/>
          <w:color w:val="000000"/>
          <w:sz w:val="20"/>
          <w:szCs w:val="20"/>
        </w:rPr>
        <w:t xml:space="preserve">gem § 19 WEG (abweichender Aufteilungsschlüssel und</w:t>
      </w:r>
    </w:p>
    <w:p>
      <w:pPr>
        <w:widowControl w:val="on"/>
        <w:pBdr/>
        <w:spacing w:before="140" w:after="240" w:line="288" w:lineRule="auto"/>
        <w:ind w:left="0" w:right="0"/>
        <w:jc w:val="left"/>
      </w:pPr>
      <w:r>
        <w:rPr>
          <w:rFonts w:ascii="Arial" w:hAnsi="Arial" w:eastAsia="Arial" w:cs="Arial"/>
          <w:color w:val="000000"/>
          <w:sz w:val="20"/>
          <w:szCs w:val="20"/>
        </w:rPr>
        <w:t xml:space="preserve">abweichende Abrechnungseinheit gem § 19 Abs 2 WEG
1975, gem</w:t>
      </w:r>
    </w:p>
    <w:p>
      <w:pPr>
        <w:widowControl w:val="on"/>
        <w:pBdr/>
        <w:spacing w:before="140" w:after="240" w:line="288" w:lineRule="auto"/>
        <w:ind w:left="0" w:right="0"/>
        <w:jc w:val="left"/>
      </w:pPr>
      <w:r>
        <w:rPr>
          <w:rFonts w:ascii="Arial" w:hAnsi="Arial" w:eastAsia="Arial" w:cs="Arial"/>
          <w:color w:val="000000"/>
          <w:sz w:val="20"/>
          <w:szCs w:val="20"/>
        </w:rPr>
        <w:t xml:space="preserve">der Neufassung des Wohnungseigentumsvertrages von</w:t>
      </w:r>
    </w:p>
    <w:p>
      <w:pPr>
        <w:widowControl w:val="on"/>
        <w:pBdr/>
        <w:spacing w:before="140" w:after="240" w:line="288" w:lineRule="auto"/>
        <w:ind w:left="0" w:right="0"/>
        <w:jc w:val="left"/>
      </w:pPr>
      <w:r>
        <w:rPr>
          <w:rFonts w:ascii="Arial" w:hAnsi="Arial" w:eastAsia="Arial" w:cs="Arial"/>
          <w:color w:val="000000"/>
          <w:sz w:val="20"/>
          <w:szCs w:val="20"/>
        </w:rPr>
        <w:t xml:space="preserve">2008-09-17)</w:t>
      </w:r>
    </w:p>
    <w:p>
      <w:pPr>
        <w:widowControl w:val="on"/>
        <w:pBdr/>
        <w:spacing w:before="140" w:after="240" w:line="288" w:lineRule="auto"/>
        <w:ind w:left="0" w:right="0"/>
        <w:jc w:val="left"/>
      </w:pPr>
      <w:r>
        <w:rPr>
          <w:rFonts w:ascii="Arial" w:hAnsi="Arial" w:eastAsia="Arial" w:cs="Arial"/>
          <w:color w:val="000000"/>
          <w:sz w:val="20"/>
          <w:szCs w:val="20"/>
        </w:rPr>
        <w:t xml:space="preserve">52 auf Anteil B-LNR 875 876</w:t>
      </w:r>
    </w:p>
    <w:p>
      <w:pPr>
        <w:widowControl w:val="on"/>
        <w:pBdr/>
        <w:spacing w:before="140" w:after="240" w:line="288" w:lineRule="auto"/>
        <w:ind w:left="0" w:right="0"/>
        <w:jc w:val="left"/>
      </w:pPr>
      <w:r>
        <w:rPr>
          <w:rFonts w:ascii="Arial" w:hAnsi="Arial" w:eastAsia="Arial" w:cs="Arial"/>
          <w:color w:val="000000"/>
          <w:sz w:val="20"/>
          <w:szCs w:val="20"/>
        </w:rPr>
        <w:t xml:space="preserve">a 1234/2008 Pfandurkunde 2008-08-08</w:t>
      </w:r>
    </w:p>
    <w:p>
      <w:pPr>
        <w:widowControl w:val="on"/>
        <w:pBdr/>
        <w:spacing w:before="140" w:after="240" w:line="288" w:lineRule="auto"/>
        <w:ind w:left="0" w:right="0"/>
        <w:jc w:val="left"/>
      </w:pPr>
      <w:r>
        <w:rPr>
          <w:rFonts w:ascii="Arial" w:hAnsi="Arial" w:eastAsia="Arial" w:cs="Arial"/>
          <w:color w:val="000000"/>
          <w:sz w:val="20"/>
          <w:szCs w:val="20"/>
        </w:rPr>
        <w:t xml:space="preserve">PFANDRECHT Höchstbetrag EUR 150.000,–</w:t>
      </w:r>
    </w:p>
    <w:p>
      <w:pPr>
        <w:widowControl w:val="on"/>
        <w:pBdr/>
        <w:spacing w:before="140" w:after="240" w:line="288" w:lineRule="auto"/>
        <w:ind w:left="0" w:right="0"/>
        <w:jc w:val="left"/>
      </w:pPr>
      <w:r>
        <w:rPr>
          <w:rFonts w:ascii="Arial" w:hAnsi="Arial" w:eastAsia="Arial" w:cs="Arial"/>
          <w:color w:val="000000"/>
          <w:sz w:val="20"/>
          <w:szCs w:val="20"/>
        </w:rPr>
        <w:t xml:space="preserve">für ABC Bank Aktiengesellschaft</w:t>
      </w:r>
    </w:p>
    <w:p>
      <w:pPr>
        <w:widowControl w:val="on"/>
        <w:pBdr/>
        <w:spacing w:before="140" w:after="240" w:line="288" w:lineRule="auto"/>
        <w:ind w:left="0" w:right="0"/>
        <w:jc w:val="left"/>
      </w:pPr>
      <w:r>
        <w:rPr>
          <w:rFonts w:ascii="Arial" w:hAnsi="Arial" w:eastAsia="Arial" w:cs="Arial"/>
          <w:color w:val="000000"/>
          <w:sz w:val="20"/>
          <w:szCs w:val="20"/>
        </w:rPr>
        <w:t xml:space="preserve">(FN 123456a)</w:t>
      </w:r>
    </w:p>
    <w:p>
      <w:pPr>
        <w:widowControl w:val="on"/>
        <w:pBdr/>
        <w:spacing w:before="140" w:after="240" w:line="288" w:lineRule="auto"/>
        <w:ind w:left="0" w:right="0"/>
        <w:jc w:val="left"/>
      </w:pPr>
      <w:r>
        <w:rPr>
          <w:rFonts w:ascii="Arial" w:hAnsi="Arial" w:eastAsia="Arial" w:cs="Arial"/>
          <w:color w:val="000000"/>
          <w:sz w:val="20"/>
          <w:szCs w:val="20"/>
        </w:rPr>
        <w:t xml:space="preserve">b 21012/2012 Kautionsband</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HINWEIS</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Eintragungen ohne Währungsbezeichnung sind Beträge in ATS.</w:t>
      </w:r>
    </w:p>
    <w:p>
      <w:r>
        <w:pict>
          <v:rect id="_x0000_i1026" style="width:0;height:1.5pt" o:hralign="center" o:hrstd="t" o:hr="t" o:hrnoshade="t" fillcolor="#a0a0a0" stroked="f"/>
        </w:pic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1.2 Weiteres gemeinsames
Eigentum/Verkaufsabsicht</w:t>
      </w:r>
    </w:p>
    <w:p>
      <w:pPr>
        <w:widowControl w:val="on"/>
        <w:pBdr/>
        <w:spacing w:before="140" w:after="240" w:line="288" w:lineRule="auto"/>
        <w:ind w:left="0" w:right="0"/>
        <w:jc w:val="left"/>
      </w:pPr>
      <w:r>
        <w:rPr>
          <w:rFonts w:ascii="Arial" w:hAnsi="Arial" w:eastAsia="Arial" w:cs="Arial"/>
          <w:color w:val="000000"/>
          <w:sz w:val="20"/>
          <w:szCs w:val="20"/>
        </w:rPr>
        <w:t xml:space="preserve">Die Ehegatten bleiben gemeinsame Eigentümer der Ehewohnung und
erklären einvernehmlich, dass sie gemeinsam einen zeitnahen Verkauf
zum bestmöglichen Preis anstreben. In diesem Zusammenhang
verpflichten sich die Ehegatten, die für die Verwertung der
Ehewohnung notwendigen Erklärungen (zB Beauftragung eines
Immobilienmaklers, Beauftragung eines Treuhänders, Unterfertigung
eines Kaufvertrages …) ohne Verzug zu leisten.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1.3 Unterlassung von Belastungen der
Ehewohnung</w:t>
      </w:r>
    </w:p>
    <w:p>
      <w:pPr>
        <w:widowControl w:val="on"/>
        <w:pBdr/>
        <w:spacing w:before="140" w:after="240" w:line="288" w:lineRule="auto"/>
        <w:ind w:left="0" w:right="0"/>
        <w:jc w:val="left"/>
      </w:pPr>
      <w:r>
        <w:rPr>
          <w:rFonts w:ascii="Arial" w:hAnsi="Arial" w:eastAsia="Arial" w:cs="Arial"/>
          <w:color w:val="000000"/>
          <w:sz w:val="20"/>
          <w:szCs w:val="20"/>
        </w:rPr>
        <w:t xml:space="preserve">Die Parteien verpflichten sich, bis zum gemeinsamen Verkauf der
Ehewohnung jede Verfügung über ihren Anteil, insbesondere auch die
Einräumung außerbücherlicher Rechter an Dritte, zu unterlassen.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1.4 Wohnrecht beider Ehegatten und
Räumungsverpflichtung</w:t>
      </w:r>
    </w:p>
    <w:p>
      <w:pPr>
        <w:widowControl w:val="on"/>
        <w:pBdr/>
        <w:spacing w:before="140" w:after="240" w:line="288" w:lineRule="auto"/>
        <w:ind w:left="0" w:right="0"/>
        <w:jc w:val="left"/>
      </w:pPr>
      <w:r>
        <w:rPr>
          <w:rFonts w:ascii="Arial" w:hAnsi="Arial" w:eastAsia="Arial" w:cs="Arial"/>
          <w:color w:val="000000"/>
          <w:sz w:val="20"/>
          <w:szCs w:val="20"/>
        </w:rPr>
        <w:t xml:space="preserve">Beide Ehegatten sind berechtigt, bis zur (allseitigen)
Unterzeichnung eines Kaufvertrages über die Ehewohnung weiter in
der Ehewohnung zu wohnen. Die Frau ist berechtigt, sämtliche
Räumlichkeiten, die sich vom Vorzimmer aus gesehen (Blickwinkel vom
Gang aus) links befinden, allein zu nutzen, der Mann ist
berechtigt, sämtliche Räumlichkeiten, die sich vom Vorzimmer aus
gesehen (Blickwinkel vom Gang aus) rechts befinden, allein zu
nutzen. Die mittig gelegene Küche sowie das ebenfalls mittig
gelegene Bad und WC dürfen beide Ehegatten nutzen und werden sich
zeitlich hinsichtlich der Nutzung abstimmen.</w:t>
      </w:r>
    </w:p>
    <w:p>
      <w:pPr>
        <w:widowControl w:val="on"/>
        <w:pBdr/>
        <w:spacing w:before="140" w:after="240" w:line="288" w:lineRule="auto"/>
        <w:ind w:left="0" w:right="0"/>
        <w:jc w:val="left"/>
      </w:pPr>
      <w:r>
        <w:rPr>
          <w:rFonts w:ascii="Arial" w:hAnsi="Arial" w:eastAsia="Arial" w:cs="Arial"/>
          <w:color w:val="000000"/>
          <w:sz w:val="20"/>
          <w:szCs w:val="20"/>
        </w:rPr>
        <w:t xml:space="preserve">Jedenfalls verpflichten sich die Parteien, bei sonstiger
Exekution und unter Verzicht auf Räumungsaufschub, die Wohnung
spätestens am Tag der allseitigen Unterzeichnung eines
Kaufvertrages über die Ehewohnung bzw sofern es zu keinem Verkauf
kommt, spätestens am 31.12.2021 zu räumen.</w:t>
      </w:r>
    </w:p>
    <w:p>
      <w:pPr>
        <w:widowControl w:val="on"/>
        <w:pBdr/>
        <w:spacing w:before="140" w:after="240" w:line="288" w:lineRule="auto"/>
        <w:ind w:left="0" w:right="0"/>
        <w:jc w:val="left"/>
      </w:pPr>
      <w:r>
        <w:rPr>
          <w:rFonts w:ascii="Arial" w:hAnsi="Arial" w:eastAsia="Arial" w:cs="Arial"/>
          <w:color w:val="000000"/>
          <w:sz w:val="20"/>
          <w:szCs w:val="20"/>
        </w:rPr>
        <w:t xml:space="preserve">Das Inventar der Ehewohnung wird laut der einen integrierenden
Bestandteil dieses Aufteilungsvergleiches bildenden Liste zwischen
den Ehegatten aufgeteilt.</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1.5 Preise für den Wohnungsverkauf
und Notlösung Feilbietung</w:t>
      </w:r>
    </w:p>
    <w:p>
      <w:pPr>
        <w:widowControl w:val="on"/>
        <w:pBdr/>
        <w:spacing w:before="140" w:after="240" w:line="288" w:lineRule="auto"/>
        <w:ind w:left="0" w:right="0"/>
        <w:jc w:val="left"/>
      </w:pPr>
      <w:r>
        <w:rPr>
          <w:rFonts w:ascii="Arial" w:hAnsi="Arial" w:eastAsia="Arial" w:cs="Arial"/>
          <w:color w:val="000000"/>
          <w:sz w:val="20"/>
          <w:szCs w:val="20"/>
        </w:rPr>
        <w:t xml:space="preserve">Die Ehegatten legen hiermit Zeitstaffeln und Anbots- und
Mindestpreise fest, die eine geregelte Abwicklung eines Verkaufes
der Ehewohnung unterstützen sollen: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Zeitrahmen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Anbotspreis</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Mindestverkaufspreis</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30.06.2020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500.000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480.000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31.12.2020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480.000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450.000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30.06.2021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450.000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400.000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Sollte nicht bis längstens 31.12.2021 ein Kaufvertrag über die
Ehewohnung durch sämtliche Vertragsparteien des Kaufvertrages
unterzeichnet sein, sind die Parteien verpflichtet, die
unverzügliche freiwillige Feilbietung der Liegenschaft
gem §§ 87a ff der Notariatsordnung zu veranlassen bzw
einer solchen zuzustimmen bzw einen Teilungstitel zu schaffen bzw
einem solchen zuzustimmen; der Verkauf erfolgt diesfalls zum
jeweils zu erzielenden Preis ohne Mindestgrenze.</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1.6 Verkaufserlösverwendung</w:t>
      </w:r>
    </w:p>
    <w:p>
      <w:pPr>
        <w:widowControl w:val="on"/>
        <w:pBdr/>
        <w:spacing w:before="140" w:after="240" w:line="288" w:lineRule="auto"/>
        <w:ind w:left="0" w:right="0"/>
        <w:jc w:val="left"/>
      </w:pPr>
      <w:r>
        <w:rPr>
          <w:rFonts w:ascii="Arial" w:hAnsi="Arial" w:eastAsia="Arial" w:cs="Arial"/>
          <w:color w:val="000000"/>
          <w:sz w:val="20"/>
          <w:szCs w:val="20"/>
        </w:rPr>
        <w:t xml:space="preserve">Der Erlös aus dem Liegenschaftsverkauf wird folgendermaßen
verwendet:</w:t>
      </w:r>
    </w:p>
    <w:p>
      <w:pPr>
        <w:numPr>
          <w:ilvl w:val="0"/>
          <w:numId w:val="4788469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Bezahlung der Maklerprovision und der sonstigen mit dem Verkauf
verbundenen Spesen, Gebühren und Steuern (mit Ausnahme allfälliger
ImmoEst),</w:t>
      </w:r>
    </w:p>
    <w:p>
      <w:pPr>
        <w:numPr>
          <w:ilvl w:val="0"/>
          <w:numId w:val="4788469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Rückzahlung der unter Pkt 2 genannten
Kreditverbindlichkeiten.</w:t>
      </w:r>
    </w:p>
    <w:p>
      <w:pPr>
        <w:numPr>
          <w:ilvl w:val="0"/>
          <w:numId w:val="4788469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verbleibende Erlös wird zu gleichen Teilen zwischen den
Ehegatten aufgeteilt.</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1.7 Treuhandabwicklung des
Verkaufs</w:t>
      </w:r>
    </w:p>
    <w:p>
      <w:pPr>
        <w:widowControl w:val="on"/>
        <w:pBdr/>
        <w:spacing w:before="140" w:after="240" w:line="288" w:lineRule="auto"/>
        <w:ind w:left="0" w:right="0"/>
        <w:jc w:val="left"/>
      </w:pPr>
      <w:r>
        <w:rPr>
          <w:rFonts w:ascii="Arial" w:hAnsi="Arial" w:eastAsia="Arial" w:cs="Arial"/>
          <w:color w:val="000000"/>
          <w:sz w:val="20"/>
          <w:szCs w:val="20"/>
        </w:rPr>
        <w:t xml:space="preserve">Es erfolgt eine Treuhandabwicklung hinsichtlich der Geldflüsse
im Zusammenhang mit dem Verkauf durch einen einvernehmlich von den
Parteien zu bestimmenden Treuhänder. Dieser hat den Verkaufserlös
nach den obenstehenden Bestimmungen den Parteien auszuzahlen.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1.8 Kostentragung bis zum
Verkauf</w:t>
      </w:r>
    </w:p>
    <w:p>
      <w:pPr>
        <w:widowControl w:val="on"/>
        <w:pBdr/>
        <w:spacing w:before="140" w:after="240" w:line="288" w:lineRule="auto"/>
        <w:ind w:left="0" w:right="0"/>
        <w:jc w:val="left"/>
      </w:pPr>
      <w:r>
        <w:rPr>
          <w:rFonts w:ascii="Arial" w:hAnsi="Arial" w:eastAsia="Arial" w:cs="Arial"/>
          <w:color w:val="000000"/>
          <w:sz w:val="20"/>
          <w:szCs w:val="20"/>
        </w:rPr>
        <w:t xml:space="preserve">Die auf die Wohnung entfallenden Betriebskosten einschließlich
aller laufenden Kosten wie für Strom, Telekommunikation, TV, GIS
etc bezahlen die Ehegatten je zur Hälfte.</w:t>
      </w:r>
    </w:p>
    <w:p>
      <w:pPr>
        <w:widowControl w:val="on"/>
        <w:pBdr/>
        <w:spacing w:before="140" w:after="240" w:line="288" w:lineRule="auto"/>
        <w:ind w:left="0" w:right="0"/>
        <w:jc w:val="left"/>
      </w:pPr>
      <w:r>
        <w:rPr>
          <w:rFonts w:ascii="Arial" w:hAnsi="Arial" w:eastAsia="Arial" w:cs="Arial"/>
          <w:color w:val="000000"/>
          <w:sz w:val="20"/>
          <w:szCs w:val="20"/>
        </w:rPr>
        <w:t xml:space="preserve">Die Kreditkosten (Zinsen, Kapitalrückzahlung, sonstige
Kreditkosten, Kosten allfälliger Risikoversicherungen) zahlen die
beiden Parteien ebenfalls je zur Hälfte.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Verbindlichkeiten</w:t>
      </w:r>
    </w:p>
    <w:p>
      <w:pPr>
        <w:widowControl w:val="on"/>
        <w:pBdr/>
        <w:spacing w:before="140" w:after="240" w:line="288" w:lineRule="auto"/>
        <w:ind w:left="0" w:right="0"/>
        <w:jc w:val="left"/>
      </w:pPr>
      <w:r>
        <w:rPr>
          <w:rFonts w:ascii="Arial" w:hAnsi="Arial" w:eastAsia="Arial" w:cs="Arial"/>
          <w:color w:val="000000"/>
          <w:sz w:val="20"/>
          <w:szCs w:val="20"/>
        </w:rPr>
        <w:t xml:space="preserve">Es bestehen folgende ehelichen Verbindlichkeiten:</w:t>
      </w:r>
    </w:p>
    <w:p>
      <w:pPr>
        <w:numPr>
          <w:ilvl w:val="0"/>
          <w:numId w:val="4228775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Kredit ABC Bank AG KtoNr AT12 3456 7890 0000 1234, derzeit
aushaftend mit ca EUR 100.000,–</w:t>
      </w:r>
    </w:p>
    <w:p>
      <w:pPr>
        <w:widowControl w:val="on"/>
        <w:pBdr/>
        <w:spacing w:before="140" w:after="240" w:line="288" w:lineRule="auto"/>
        <w:ind w:left="0" w:right="0"/>
        <w:jc w:val="left"/>
      </w:pPr>
      <w:r>
        <w:rPr>
          <w:rFonts w:ascii="Arial" w:hAnsi="Arial" w:eastAsia="Arial" w:cs="Arial"/>
          <w:color w:val="000000"/>
          <w:sz w:val="20"/>
          <w:szCs w:val="20"/>
        </w:rPr>
        <w:t xml:space="preserve">Darüber hinaus bestehen keine ehelichen Verbindlichkeiten oder
Verbindlichkeiten, für die beide Parteien haften würden. Sollte
dennoch eine Haftung hervorkommen, so sind sämtliche
Verbindlichkeiten, die mit dem Vermögen, das der jeweiligen Seite
verbleibt, verbunden sind, ausschließlich von dieser zurück zu
erstatten und ist die jeweils andere Seite diesbezüglich schad- und
klaglos zu halten.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Sonstige Vermögenswerte, Kfz</w:t>
      </w:r>
    </w:p>
    <w:p>
      <w:pPr>
        <w:widowControl w:val="on"/>
        <w:pBdr/>
        <w:spacing w:before="140" w:after="240" w:line="288" w:lineRule="auto"/>
        <w:ind w:left="0" w:right="0"/>
        <w:jc w:val="left"/>
      </w:pPr>
      <w:r>
        <w:rPr>
          <w:rFonts w:ascii="Arial" w:hAnsi="Arial" w:eastAsia="Arial" w:cs="Arial"/>
          <w:color w:val="000000"/>
          <w:sz w:val="20"/>
          <w:szCs w:val="20"/>
        </w:rPr>
        <w:t xml:space="preserve">Das Kfz BMW 320 Ci verbleibt dem Mann, der Mini Cooper verbleibt
der Frau.</w:t>
      </w:r>
    </w:p>
    <w:p>
      <w:pPr>
        <w:widowControl w:val="on"/>
        <w:pBdr/>
        <w:spacing w:before="140" w:after="240" w:line="288" w:lineRule="auto"/>
        <w:ind w:left="0" w:right="0"/>
        <w:jc w:val="left"/>
      </w:pPr>
      <w:r>
        <w:rPr>
          <w:rFonts w:ascii="Arial" w:hAnsi="Arial" w:eastAsia="Arial" w:cs="Arial"/>
          <w:color w:val="000000"/>
          <w:sz w:val="20"/>
          <w:szCs w:val="20"/>
        </w:rPr>
        <w:t xml:space="preserve">Soweit die Parteien über Versicherungen, Wertpapiervermögen,
Liegenschaften und/oder Sparvermögen oder sonstige Vermögenswerte
verfügen, verbleiben diese dem jeweiligen Vertragspartner bzw
Eigentümer, ohne dass der anderen Partei daraus ein Anspruch
entstünde. Beide Parteien behalten somit ihr Eigentum und die auf
ihren jeweiligen Namen lautenden Verträge zu ihrer
uneingeschränkten Verfügung.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Ausgleichszahlung</w:t>
      </w:r>
    </w:p>
    <w:p>
      <w:pPr>
        <w:widowControl w:val="on"/>
        <w:pBdr/>
        <w:spacing w:before="140" w:after="240" w:line="288" w:lineRule="auto"/>
        <w:ind w:left="0" w:right="0"/>
        <w:jc w:val="left"/>
      </w:pPr>
      <w:r>
        <w:rPr>
          <w:rFonts w:ascii="Arial" w:hAnsi="Arial" w:eastAsia="Arial" w:cs="Arial"/>
          <w:color w:val="000000"/>
          <w:sz w:val="20"/>
          <w:szCs w:val="20"/>
        </w:rPr>
        <w:t xml:space="preserve">Der Mann verpflichtet sich, der Frau eine Ausgleichszahlung in
Höhe von EUR 20.000,– binnen 14 Tagen nach Rechtskraft der
Scheidung zu bezahlen.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Gebühren und Kosten</w:t>
      </w:r>
    </w:p>
    <w:p>
      <w:pPr>
        <w:widowControl w:val="on"/>
        <w:pBdr/>
        <w:spacing w:before="140" w:after="240" w:line="288" w:lineRule="auto"/>
        <w:ind w:left="0" w:right="0"/>
        <w:jc w:val="left"/>
      </w:pPr>
      <w:r>
        <w:rPr>
          <w:rFonts w:ascii="Arial" w:hAnsi="Arial" w:eastAsia="Arial" w:cs="Arial"/>
          <w:color w:val="000000"/>
          <w:sz w:val="20"/>
          <w:szCs w:val="20"/>
        </w:rPr>
        <w:t xml:space="preserve">Die Gebühren des Aufteilungsverfahrens werden vom Mann
getragen.</w:t>
      </w:r>
    </w:p>
    <w:p>
      <w:pPr>
        <w:widowControl w:val="on"/>
        <w:pBdr/>
        <w:spacing w:before="140" w:after="240" w:line="288" w:lineRule="auto"/>
        <w:ind w:left="0" w:right="0"/>
        <w:jc w:val="left"/>
      </w:pPr>
      <w:r>
        <w:rPr>
          <w:rFonts w:ascii="Arial" w:hAnsi="Arial" w:eastAsia="Arial" w:cs="Arial"/>
          <w:color w:val="000000"/>
          <w:sz w:val="20"/>
          <w:szCs w:val="20"/>
        </w:rPr>
        <w:t xml:space="preserve">Im Übrigen trägt jede Partei die Kosten der eigenen rechtlichen
Vertretung.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Verzicht auf weitere
Ansprüche</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 erklären, auf weitere Ansprüche gegeneinander
hinsichtlich Aufteilung des ehelichen Gebrauchsvermögens, ehelicher
Ersparnisse sowie hinsichtlich Abgeltung der Mitwirkung eines
Ehegatten im Erwerb des anderen gem §§ 81 ff EheG,
§§ 98 ff ABGB sowie auf jede diesbezügliche Antragstellung zu
verzichten.</w:t>
      </w:r>
    </w:p>
    <w:p>
      <w:pPr>
        <w:widowControl w:val="on"/>
        <w:pBdr/>
        <w:spacing w:before="140" w:after="240" w:line="288" w:lineRule="auto"/>
        <w:ind w:left="0" w:right="0"/>
        <w:jc w:val="left"/>
      </w:pPr>
      <w:r>
        <w:rPr>
          <w:rFonts w:ascii="Arial" w:hAnsi="Arial" w:eastAsia="Arial" w:cs="Arial"/>
          <w:color w:val="000000"/>
          <w:sz w:val="20"/>
          <w:szCs w:val="20"/>
        </w:rPr>
        <w:t xml:space="preserve">Mit diesem Vergleich sind alle wechselseitigen
vermögensrechtlichen Ansprüche der Antragsteller bereinigt und
verglichen.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Marianne Muster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Martin Muster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87755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78846970">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98660133">
    <w:multiLevelType w:val="hybridMultilevel"/>
    <w:lvl w:ilvl="0" w:tplc="45612917">
      <w:start w:val="1"/>
      <w:numFmt w:val="decimal"/>
      <w:lvlText w:val="%1."/>
      <w:lvlJc w:val="left"/>
      <w:pPr>
        <w:ind w:left="720" w:hanging="360"/>
      </w:pPr>
    </w:lvl>
    <w:lvl w:ilvl="1" w:tplc="45612917" w:tentative="1">
      <w:start w:val="1"/>
      <w:numFmt w:val="lowerLetter"/>
      <w:lvlText w:val="%2."/>
      <w:lvlJc w:val="left"/>
      <w:pPr>
        <w:ind w:left="1440" w:hanging="360"/>
      </w:pPr>
    </w:lvl>
    <w:lvl w:ilvl="2" w:tplc="45612917" w:tentative="1">
      <w:start w:val="1"/>
      <w:numFmt w:val="lowerRoman"/>
      <w:lvlText w:val="%3."/>
      <w:lvlJc w:val="right"/>
      <w:pPr>
        <w:ind w:left="2160" w:hanging="180"/>
      </w:pPr>
    </w:lvl>
    <w:lvl w:ilvl="3" w:tplc="45612917" w:tentative="1">
      <w:start w:val="1"/>
      <w:numFmt w:val="decimal"/>
      <w:lvlText w:val="%4."/>
      <w:lvlJc w:val="left"/>
      <w:pPr>
        <w:ind w:left="2880" w:hanging="360"/>
      </w:pPr>
    </w:lvl>
    <w:lvl w:ilvl="4" w:tplc="45612917" w:tentative="1">
      <w:start w:val="1"/>
      <w:numFmt w:val="lowerLetter"/>
      <w:lvlText w:val="%5."/>
      <w:lvlJc w:val="left"/>
      <w:pPr>
        <w:ind w:left="3600" w:hanging="360"/>
      </w:pPr>
    </w:lvl>
    <w:lvl w:ilvl="5" w:tplc="45612917" w:tentative="1">
      <w:start w:val="1"/>
      <w:numFmt w:val="lowerRoman"/>
      <w:lvlText w:val="%6."/>
      <w:lvlJc w:val="right"/>
      <w:pPr>
        <w:ind w:left="4320" w:hanging="180"/>
      </w:pPr>
    </w:lvl>
    <w:lvl w:ilvl="6" w:tplc="45612917" w:tentative="1">
      <w:start w:val="1"/>
      <w:numFmt w:val="decimal"/>
      <w:lvlText w:val="%7."/>
      <w:lvlJc w:val="left"/>
      <w:pPr>
        <w:ind w:left="5040" w:hanging="360"/>
      </w:pPr>
    </w:lvl>
    <w:lvl w:ilvl="7" w:tplc="45612917" w:tentative="1">
      <w:start w:val="1"/>
      <w:numFmt w:val="lowerLetter"/>
      <w:lvlText w:val="%8."/>
      <w:lvlJc w:val="left"/>
      <w:pPr>
        <w:ind w:left="5760" w:hanging="360"/>
      </w:pPr>
    </w:lvl>
    <w:lvl w:ilvl="8" w:tplc="45612917" w:tentative="1">
      <w:start w:val="1"/>
      <w:numFmt w:val="lowerRoman"/>
      <w:lvlText w:val="%9."/>
      <w:lvlJc w:val="right"/>
      <w:pPr>
        <w:ind w:left="6480" w:hanging="180"/>
      </w:pPr>
    </w:lvl>
  </w:abstractNum>
  <w:abstractNum w:abstractNumId="34388037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78142532">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98660132">
    <w:multiLevelType w:val="hybridMultilevel"/>
    <w:lvl w:ilvl="0" w:tplc="43195059">
      <w:start w:val="1"/>
      <w:numFmt w:val="decimal"/>
      <w:lvlText w:val="%1."/>
      <w:lvlJc w:val="left"/>
      <w:pPr>
        <w:ind w:left="720" w:hanging="360"/>
      </w:pPr>
    </w:lvl>
    <w:lvl w:ilvl="1" w:tplc="43195059" w:tentative="1">
      <w:start w:val="1"/>
      <w:numFmt w:val="lowerLetter"/>
      <w:lvlText w:val="%2."/>
      <w:lvlJc w:val="left"/>
      <w:pPr>
        <w:ind w:left="1440" w:hanging="360"/>
      </w:pPr>
    </w:lvl>
    <w:lvl w:ilvl="2" w:tplc="43195059" w:tentative="1">
      <w:start w:val="1"/>
      <w:numFmt w:val="lowerRoman"/>
      <w:lvlText w:val="%3."/>
      <w:lvlJc w:val="right"/>
      <w:pPr>
        <w:ind w:left="2160" w:hanging="180"/>
      </w:pPr>
    </w:lvl>
    <w:lvl w:ilvl="3" w:tplc="43195059" w:tentative="1">
      <w:start w:val="1"/>
      <w:numFmt w:val="decimal"/>
      <w:lvlText w:val="%4."/>
      <w:lvlJc w:val="left"/>
      <w:pPr>
        <w:ind w:left="2880" w:hanging="360"/>
      </w:pPr>
    </w:lvl>
    <w:lvl w:ilvl="4" w:tplc="43195059" w:tentative="1">
      <w:start w:val="1"/>
      <w:numFmt w:val="lowerLetter"/>
      <w:lvlText w:val="%5."/>
      <w:lvlJc w:val="left"/>
      <w:pPr>
        <w:ind w:left="3600" w:hanging="360"/>
      </w:pPr>
    </w:lvl>
    <w:lvl w:ilvl="5" w:tplc="43195059" w:tentative="1">
      <w:start w:val="1"/>
      <w:numFmt w:val="lowerRoman"/>
      <w:lvlText w:val="%6."/>
      <w:lvlJc w:val="right"/>
      <w:pPr>
        <w:ind w:left="4320" w:hanging="180"/>
      </w:pPr>
    </w:lvl>
    <w:lvl w:ilvl="6" w:tplc="43195059" w:tentative="1">
      <w:start w:val="1"/>
      <w:numFmt w:val="decimal"/>
      <w:lvlText w:val="%7."/>
      <w:lvlJc w:val="left"/>
      <w:pPr>
        <w:ind w:left="5040" w:hanging="360"/>
      </w:pPr>
    </w:lvl>
    <w:lvl w:ilvl="7" w:tplc="43195059" w:tentative="1">
      <w:start w:val="1"/>
      <w:numFmt w:val="lowerLetter"/>
      <w:lvlText w:val="%8."/>
      <w:lvlJc w:val="left"/>
      <w:pPr>
        <w:ind w:left="5760" w:hanging="360"/>
      </w:pPr>
    </w:lvl>
    <w:lvl w:ilvl="8" w:tplc="43195059" w:tentative="1">
      <w:start w:val="1"/>
      <w:numFmt w:val="lowerRoman"/>
      <w:lvlText w:val="%9."/>
      <w:lvlJc w:val="right"/>
      <w:pPr>
        <w:ind w:left="6480" w:hanging="180"/>
      </w:pPr>
    </w:lvl>
  </w:abstractNum>
  <w:abstractNum w:abstractNumId="98660131">
    <w:multiLevelType w:val="hybridMultilevel"/>
    <w:lvl w:ilvl="0" w:tplc="94140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60131">
    <w:abstractNumId w:val="98660131"/>
  </w:num>
  <w:num w:numId="98660132">
    <w:abstractNumId w:val="98660132"/>
  </w:num>
  <w:num w:numId="378142532">
    <w:abstractNumId w:val="378142532"/>
  </w:num>
  <w:num w:numId="343880373">
    <w:abstractNumId w:val="343880373"/>
  </w:num>
  <w:num w:numId="98660133">
    <w:abstractNumId w:val="98660133"/>
  </w:num>
  <w:num w:numId="478846970">
    <w:abstractNumId w:val="478846970"/>
  </w:num>
  <w:num w:numId="422877556">
    <w:abstractNumId w:val="4228775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33852485" Type="http://schemas.openxmlformats.org/officeDocument/2006/relationships/numbering" Target="numbering.xml"/><Relationship Id="rId66464184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