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4263361" w:name="document"/>
    <w:bookmarkEnd w:id="14263361"/>
    <w:p/>
    <w:p>
      <w:pPr>
        <w:widowControl w:val="on"/>
        <w:pBdr/>
        <w:spacing w:before="0" w:after="280" w:line="240" w:lineRule="auto"/>
        <w:ind w:left="0" w:right="0"/>
        <w:jc w:val="left"/>
      </w:pPr>
      <w:r>
        <w:rPr>
          <w:rFonts w:ascii="Arial" w:hAnsi="Arial" w:eastAsia="Arial" w:cs="Arial"/>
          <w:color w:val="363A40"/>
          <w:sz w:val="24"/>
          <w:szCs w:val="24"/>
        </w:rPr>
        <w:t xml:space="preserve">Dokument-ID: 785760 | Gerda Schönsgibl -
Raphael Albert - Stanislava Doganova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Anzeige der Einbringung beim Finanzamt Österreich</w:t>
      </w:r>
    </w:p>
    <w:p>
      <w:pPr>
        <w:widowControl w:val="on"/>
        <w:pBdr/>
        <w:spacing w:before="140" w:after="240" w:line="288" w:lineRule="auto"/>
        <w:ind w:left="0" w:right="0"/>
        <w:jc w:val="left"/>
      </w:pPr>
      <w:r>
        <w:rPr>
          <w:rFonts w:ascii="Arial" w:hAnsi="Arial" w:eastAsia="Arial" w:cs="Arial"/>
          <w:color w:val="000000"/>
          <w:sz w:val="20"/>
          <w:szCs w:val="20"/>
        </w:rPr>
        <w:t xml:space="preserve">Finanzamt Lilienfeld – St. Pölten</w:t>
      </w:r>
      <w:r>
        <w:rPr>
          <w:rFonts w:ascii="Arial" w:hAnsi="Arial" w:eastAsia="Arial" w:cs="Arial"/>
          <w:color w:val="000000"/>
          <w:sz w:val="20"/>
          <w:szCs w:val="20"/>
        </w:rPr>
        <w:br/>
        <w:t xml:space="preserve">Daniel Gran-Straße 8</w:t>
      </w:r>
      <w:r>
        <w:rPr>
          <w:rFonts w:ascii="Arial" w:hAnsi="Arial" w:eastAsia="Arial" w:cs="Arial"/>
          <w:color w:val="000000"/>
          <w:sz w:val="20"/>
          <w:szCs w:val="20"/>
        </w:rPr>
        <w:br/>
        <w:t xml:space="preserve">3100 St. Pölten</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Anzeige einer Einbringung (§ 13 Abs 1 UmgrStG)</w:t>
      </w:r>
    </w:p>
    <w:p>
      <w:pPr>
        <w:widowControl w:val="on"/>
        <w:pBdr/>
        <w:spacing w:before="140" w:after="240" w:line="288" w:lineRule="auto"/>
        <w:ind w:left="0" w:right="0"/>
        <w:jc w:val="left"/>
      </w:pPr>
      <w:r>
        <w:rPr>
          <w:rFonts w:ascii="Arial" w:hAnsi="Arial" w:eastAsia="Arial" w:cs="Arial"/>
          <w:color w:val="000000"/>
          <w:sz w:val="20"/>
          <w:szCs w:val="20"/>
        </w:rPr>
        <w:t xml:space="preserve">STROSTRA Giveaway Gesellschaft mbH</w:t>
      </w:r>
      <w:r>
        <w:rPr>
          <w:rFonts w:ascii="Arial" w:hAnsi="Arial" w:eastAsia="Arial" w:cs="Arial"/>
          <w:color w:val="000000"/>
          <w:sz w:val="20"/>
          <w:szCs w:val="20"/>
        </w:rPr>
        <w:br/>
        <w:t xml:space="preserve">Steuernummer: NEU</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Mit Einbringungs- und Sacheinlagevertrag vom 1. März 2025 wurden
die von den Gesellschaftern, Herrn Robbie-Ray Strohmayer und
Finn-Sören Stralsund, gehaltenen Mitunternehmeranteile an der
Strohmayer &amp; Stralsund Werbemittel OG, Steuer-Nummer 123/4567
zum Einbringungsstichtag 31. Dezember 2020 unter Anwendung der
Bestimmungen von Art III UmgrstG auf die STROSTRA Giveaway
Gesellschaft mbH, 31. St. Pölten, Herrengasse 7, Steuer-Nummer NEU,
übertragen.</w:t>
      </w:r>
    </w:p>
    <w:p>
      <w:pPr>
        <w:widowControl w:val="on"/>
        <w:pBdr/>
        <w:spacing w:before="140" w:after="240" w:line="288" w:lineRule="auto"/>
        <w:ind w:left="0" w:right="0"/>
        <w:jc w:val="left"/>
      </w:pPr>
      <w:r>
        <w:rPr>
          <w:rFonts w:ascii="Arial" w:hAnsi="Arial" w:eastAsia="Arial" w:cs="Arial"/>
          <w:color w:val="000000"/>
          <w:sz w:val="20"/>
          <w:szCs w:val="20"/>
        </w:rPr>
        <w:t xml:space="preserve">Beiliegend erhalten Sie eine Kopie des Einbringungs- und
Sacheinlagevertrages vom 1. März 2025 (inklusive Jahresabschluss
zum 31. Dezember 2024) sowie die steuerliche Einbringungsbilanz per
31. Dezember 2024 zu Ihrer Information.</w:t>
      </w:r>
    </w:p>
    <w:p>
      <w:pPr>
        <w:widowControl w:val="on"/>
        <w:pBdr/>
        <w:spacing w:before="140" w:after="240" w:line="288" w:lineRule="auto"/>
        <w:ind w:left="0" w:right="0"/>
        <w:jc w:val="left"/>
      </w:pPr>
      <w:r>
        <w:rPr>
          <w:rFonts w:ascii="Arial" w:hAnsi="Arial" w:eastAsia="Arial" w:cs="Arial"/>
          <w:color w:val="000000"/>
          <w:sz w:val="20"/>
          <w:szCs w:val="20"/>
        </w:rPr>
        <w:t xml:space="preserve">Der Wechsel der umsatzsteuerlichen Zurechnung erfolgt per 1.
August 2025. Ab dem 1. August 2025 werden die Umsätze der neu
gegründeten STROSTRA Giveaway Gesellschaft mbH zugerechnet.</w:t>
      </w:r>
    </w:p>
    <w:p>
      <w:pPr>
        <w:widowControl w:val="on"/>
        <w:pBdr/>
        <w:spacing w:before="140" w:after="240" w:line="288" w:lineRule="auto"/>
        <w:ind w:left="0" w:right="0"/>
        <w:jc w:val="left"/>
      </w:pPr>
      <w:r>
        <w:rPr>
          <w:rFonts w:ascii="Arial" w:hAnsi="Arial" w:eastAsia="Arial" w:cs="Arial"/>
          <w:color w:val="000000"/>
          <w:sz w:val="20"/>
          <w:szCs w:val="20"/>
        </w:rPr>
        <w:t xml:space="preserve">Für Fragen stehen wir gerne zur Verfügung.</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Robbie-Ray Strohmayer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Finn-Sören Stralsund</w:t>
      </w:r>
    </w:p>
    <w:p>
      <w:pPr>
        <w:widowControl w:val="on"/>
        <w:pBdr/>
        <w:spacing w:before="140" w:after="240" w:line="288" w:lineRule="auto"/>
        <w:ind w:left="0" w:right="0"/>
        <w:jc w:val="left"/>
      </w:pPr>
      <w:r>
        <w:rPr>
          <w:rFonts w:ascii="Arial" w:hAnsi="Arial" w:eastAsia="Arial" w:cs="Arial"/>
          <w:color w:val="000000"/>
          <w:sz w:val="20"/>
          <w:szCs w:val="20"/>
        </w:rPr>
        <w:t xml:space="preserve">Beilagen:</w:t>
      </w:r>
      <w:r>
        <w:rPr>
          <w:rFonts w:ascii="Arial" w:hAnsi="Arial" w:eastAsia="Arial" w:cs="Arial"/>
          <w:color w:val="000000"/>
          <w:sz w:val="20"/>
          <w:szCs w:val="20"/>
        </w:rPr>
        <w:br/>
        <w:t xml:space="preserve">Kopie des Einbringungs- und Sacheinlagevertrages vom 1. März
2025</w:t>
      </w:r>
      <w:r>
        <w:rPr>
          <w:rFonts w:ascii="Arial" w:hAnsi="Arial" w:eastAsia="Arial" w:cs="Arial"/>
          <w:color w:val="000000"/>
          <w:sz w:val="20"/>
          <w:szCs w:val="20"/>
        </w:rPr>
        <w:br/>
        <w:t xml:space="preserve">Steuerliche Einbringungsbilanz zum 31. Dezember 2020</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Bei der – dem Steuerrecht im Allgemeinen fremden – Rückwirkung
(auf den Einbringungsstichtag nach § 13 UmgrStG) handelt es
sich erst um die Rechtsfolge einer Umgründung nach UmgrStG. Erst
wenn die für eine Umgründung nach UmgrStG erforderlichen
Voraussetzungen vorliegen, kommt die im UmgrStG normierte
Rückwirkungsfiktion zum Tragen oder – im Falle einer Umgründung,
die sich nachträglich als missglückt erweist – auch nicht. Daraus
folgt, dass das UmgrStG bei Fehlen entsprechender
Inkrafttretensbestimmungen in jener Fassung anzuwenden ist, die bei
tatsächlicher Vornahme der Umgründung besteht (VwGH 18.10.2018, Ro
2016/15/0032).</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72893">
    <w:multiLevelType w:val="hybridMultilevel"/>
    <w:lvl w:ilvl="0" w:tplc="48428712">
      <w:start w:val="1"/>
      <w:numFmt w:val="decimal"/>
      <w:lvlText w:val="%1."/>
      <w:lvlJc w:val="left"/>
      <w:pPr>
        <w:ind w:left="720" w:hanging="360"/>
      </w:pPr>
    </w:lvl>
    <w:lvl w:ilvl="1" w:tplc="48428712" w:tentative="1">
      <w:start w:val="1"/>
      <w:numFmt w:val="lowerLetter"/>
      <w:lvlText w:val="%2."/>
      <w:lvlJc w:val="left"/>
      <w:pPr>
        <w:ind w:left="1440" w:hanging="360"/>
      </w:pPr>
    </w:lvl>
    <w:lvl w:ilvl="2" w:tplc="48428712" w:tentative="1">
      <w:start w:val="1"/>
      <w:numFmt w:val="lowerRoman"/>
      <w:lvlText w:val="%3."/>
      <w:lvlJc w:val="right"/>
      <w:pPr>
        <w:ind w:left="2160" w:hanging="180"/>
      </w:pPr>
    </w:lvl>
    <w:lvl w:ilvl="3" w:tplc="48428712" w:tentative="1">
      <w:start w:val="1"/>
      <w:numFmt w:val="decimal"/>
      <w:lvlText w:val="%4."/>
      <w:lvlJc w:val="left"/>
      <w:pPr>
        <w:ind w:left="2880" w:hanging="360"/>
      </w:pPr>
    </w:lvl>
    <w:lvl w:ilvl="4" w:tplc="48428712" w:tentative="1">
      <w:start w:val="1"/>
      <w:numFmt w:val="lowerLetter"/>
      <w:lvlText w:val="%5."/>
      <w:lvlJc w:val="left"/>
      <w:pPr>
        <w:ind w:left="3600" w:hanging="360"/>
      </w:pPr>
    </w:lvl>
    <w:lvl w:ilvl="5" w:tplc="48428712" w:tentative="1">
      <w:start w:val="1"/>
      <w:numFmt w:val="lowerRoman"/>
      <w:lvlText w:val="%6."/>
      <w:lvlJc w:val="right"/>
      <w:pPr>
        <w:ind w:left="4320" w:hanging="180"/>
      </w:pPr>
    </w:lvl>
    <w:lvl w:ilvl="6" w:tplc="48428712" w:tentative="1">
      <w:start w:val="1"/>
      <w:numFmt w:val="decimal"/>
      <w:lvlText w:val="%7."/>
      <w:lvlJc w:val="left"/>
      <w:pPr>
        <w:ind w:left="5040" w:hanging="360"/>
      </w:pPr>
    </w:lvl>
    <w:lvl w:ilvl="7" w:tplc="48428712" w:tentative="1">
      <w:start w:val="1"/>
      <w:numFmt w:val="lowerLetter"/>
      <w:lvlText w:val="%8."/>
      <w:lvlJc w:val="left"/>
      <w:pPr>
        <w:ind w:left="5760" w:hanging="360"/>
      </w:pPr>
    </w:lvl>
    <w:lvl w:ilvl="8" w:tplc="48428712" w:tentative="1">
      <w:start w:val="1"/>
      <w:numFmt w:val="lowerRoman"/>
      <w:lvlText w:val="%9."/>
      <w:lvlJc w:val="right"/>
      <w:pPr>
        <w:ind w:left="6480" w:hanging="180"/>
      </w:pPr>
    </w:lvl>
  </w:abstractNum>
  <w:abstractNum w:abstractNumId="60872892">
    <w:multiLevelType w:val="hybridMultilevel"/>
    <w:lvl w:ilvl="0" w:tplc="751497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72892">
    <w:abstractNumId w:val="60872892"/>
  </w:num>
  <w:num w:numId="60872893">
    <w:abstractNumId w:val="608728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36735477" Type="http://schemas.openxmlformats.org/officeDocument/2006/relationships/numbering" Target="numbering.xml"/><Relationship Id="rId12434618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