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1338728" w:name="document"/>
    <w:bookmarkEnd w:id="41338728"/>
    <w:p/>
    <w:p>
      <w:pPr>
        <w:widowControl w:val="on"/>
        <w:pBdr/>
        <w:spacing w:before="0" w:after="280" w:line="240" w:lineRule="auto"/>
        <w:ind w:left="0" w:right="0"/>
        <w:jc w:val="left"/>
      </w:pPr>
      <w:r>
        <w:rPr>
          <w:rFonts w:ascii="Arial" w:hAnsi="Arial" w:eastAsia="Arial" w:cs="Arial"/>
          <w:color w:val="363A40"/>
          <w:sz w:val="24"/>
          <w:szCs w:val="24"/>
        </w:rPr>
        <w:t xml:space="preserve">Dokument-ID: 1105113 | Florian Horn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Vorschlag eines Prämienvergleichs</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Dieser Vergleichstypus bringt den Vorteil eines höheren
Exekutionstitels für den Fall der Nichtzahlung des bedungenen
Betrages.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Weihburggasse 18–20</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Frau Rechtsanwältin</w:t>
      </w:r>
      <w:r>
        <w:rPr>
          <w:rFonts w:ascii="Arial" w:hAnsi="Arial" w:eastAsia="Arial" w:cs="Arial"/>
          <w:color w:val="000000"/>
          <w:sz w:val="20"/>
          <w:szCs w:val="20"/>
        </w:rPr>
        <w:br/>
        <w:t xml:space="preserve">Veronika Vorschlag</w:t>
      </w:r>
      <w:r>
        <w:rPr>
          <w:rFonts w:ascii="Arial" w:hAnsi="Arial" w:eastAsia="Arial" w:cs="Arial"/>
          <w:color w:val="000000"/>
          <w:sz w:val="20"/>
          <w:szCs w:val="20"/>
        </w:rPr>
        <w:br/>
        <w:t xml:space="preserve">Verner-Straße 5</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Per E-Mail: v.vorschlag@vup.at</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Gustav Gruber Handels AG ./. Out of Africa Speditions
GmbH, HG Wien 12 Cg 345/…, Vergleichsvorschlag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Kollegin!</w:t>
      </w:r>
    </w:p>
    <w:p>
      <w:pPr>
        <w:widowControl w:val="on"/>
        <w:pBdr/>
        <w:spacing w:before="140" w:after="240" w:line="288" w:lineRule="auto"/>
        <w:ind w:left="0" w:right="0"/>
        <w:jc w:val="left"/>
      </w:pPr>
      <w:r>
        <w:rPr>
          <w:rFonts w:ascii="Arial" w:hAnsi="Arial" w:eastAsia="Arial" w:cs="Arial"/>
          <w:color w:val="000000"/>
          <w:sz w:val="20"/>
          <w:szCs w:val="20"/>
        </w:rPr>
        <w:t xml:space="preserve">Ich nehme Bezug auf unser Telefonat vom … und nehme zur
Kenntnis, dass auch bei Ihrer Mandantin eine grundsätzliche
Bereitschaft zum Abschluss eines Vergleiches besteht.</w:t>
      </w:r>
    </w:p>
    <w:p>
      <w:pPr>
        <w:widowControl w:val="on"/>
        <w:pBdr/>
        <w:spacing w:before="140" w:after="240" w:line="288" w:lineRule="auto"/>
        <w:ind w:left="0" w:right="0"/>
        <w:jc w:val="left"/>
      </w:pPr>
      <w:r>
        <w:rPr>
          <w:rFonts w:ascii="Arial" w:hAnsi="Arial" w:eastAsia="Arial" w:cs="Arial"/>
          <w:color w:val="000000"/>
          <w:sz w:val="20"/>
          <w:szCs w:val="20"/>
        </w:rPr>
        <w:t xml:space="preserve">Die nächste Tagsatzung in oben genannter Rechtssache ist für den
… anberaumt. Wir konnten mit dem zuständigen Richter klären, dass
die Ausschreibung einer kurzfristigeren Tagsatzung für den
Abschluss eines Vergleiches bereits am … zwischen 10:00 Uhr und
10:15 Uhr möglich wäre, soweit sich die Parteien über den
grundsätzlichen Inhalt des Vergleiches einig sind.</w:t>
      </w:r>
    </w:p>
    <w:p>
      <w:pPr>
        <w:widowControl w:val="on"/>
        <w:pBdr/>
        <w:spacing w:before="140" w:after="240" w:line="288" w:lineRule="auto"/>
        <w:ind w:left="0" w:right="0"/>
        <w:jc w:val="left"/>
      </w:pPr>
      <w:r>
        <w:rPr>
          <w:rFonts w:ascii="Arial" w:hAnsi="Arial" w:eastAsia="Arial" w:cs="Arial"/>
          <w:color w:val="000000"/>
          <w:sz w:val="20"/>
          <w:szCs w:val="20"/>
        </w:rPr>
        <w:t xml:space="preserve">Wie telefonisch besprochen schlagen wir folgende Formulierung
für den abzuschließenden Vergleich vor:</w:t>
      </w:r>
    </w:p>
    <w:p>
      <w:pPr>
        <w:numPr>
          <w:ilvl w:val="0"/>
          <w:numId w:val="7232631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Out of Africa Speditions GmbH ist binnen 14 Tagen bei
sonstiger Exekution schuldig, der Gustav Gruber Handels AG den
Betrag von EUR 400.000,– samt 9,2 % Zinsen über dem
Basiszinssatz seit dem … zu bezahlen und die Verfahrenskosten iHv
EUR 35.468,– zu ersetzen.</w:t>
      </w:r>
    </w:p>
    <w:p>
      <w:pPr>
        <w:numPr>
          <w:ilvl w:val="0"/>
          <w:numId w:val="7232631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Out of Africa Speditions GmbH kann sich von der
Verpflichtung nach Punkt 1 befreien, wenn sie bis zum … der Gustav
Gruber Handels AG den Pauschalbetrag von EUR 350.000,–
bezahlt.</w:t>
      </w:r>
    </w:p>
    <w:p>
      <w:pPr>
        <w:numPr>
          <w:ilvl w:val="0"/>
          <w:numId w:val="72326315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diesen Vergleich sind sämtliche wechselseitigen Ansprüche
der Streitparteien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Wir bitten Sie, uns bis … mitzuteilen, ob Ihre Mandantin diesem
Vergleich in der festzusetzenden Tagsatzung am … zustimmen kann.
Sobald der Vergleichstext akkordiert ist, werde ich davon dem
Gericht Mitteilung machen.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kollegialen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MMag. Florian Horn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367063" w:name="note1"/>
            <w:bookmarkEnd w:id="50367063"/>
            <w:bookmarkStart w:id="5667615662108" w:name="note1"/>
            <w:r>
              <w:rPr>
                <w:rFonts w:ascii="Arial" w:hAnsi="Arial" w:eastAsia="Arial" w:cs="Arial"/>
                <w:b/>
                <w:bCs/>
                <w:color w:val="000000"/>
                <w:position w:val="0"/>
                <w:sz w:val="20"/>
                <w:szCs w:val="20"/>
              </w:rPr>
              <w:t xml:space="preserve">[1]</w:t>
            </w:r>
            <w:bookmarkEnd w:id="566761566210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Betreff sollte das Schreiben für den Gegner bereits
eindeutig zuordenbar machen. Bei Bezug zu einem Gerichtsverfahren
ist auch die Geschäftszahl und das zuständige Gericht
anzugeben.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359357" w:name="note2"/>
            <w:bookmarkEnd w:id="93359357"/>
            <w:bookmarkStart w:id="507368112556" w:name="note2"/>
            <w:r>
              <w:rPr>
                <w:rFonts w:ascii="Arial" w:hAnsi="Arial" w:eastAsia="Arial" w:cs="Arial"/>
                <w:b/>
                <w:bCs/>
                <w:color w:val="000000"/>
                <w:position w:val="0"/>
                <w:sz w:val="20"/>
                <w:szCs w:val="20"/>
              </w:rPr>
              <w:t xml:space="preserve">[2]</w:t>
            </w:r>
            <w:bookmarkEnd w:id="50736811255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allenfalls unternommene Vorkorrespondenz oder Kontakte
sollte Bezug genommen werden. Im Falle des Versuches einer
gebührenvermeidenden Vorgangsweise sollte allerdings gegenüber dem
Gegenvertreter keinesfalls ein mündlich abgeschlossener Vergleich
bestätigt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792816" w:name="note3"/>
            <w:bookmarkEnd w:id="93792816"/>
            <w:bookmarkStart w:id="5327187120437" w:name="note3"/>
            <w:r>
              <w:rPr>
                <w:rFonts w:ascii="Arial" w:hAnsi="Arial" w:eastAsia="Arial" w:cs="Arial"/>
                <w:b/>
                <w:bCs/>
                <w:color w:val="000000"/>
                <w:position w:val="0"/>
                <w:sz w:val="20"/>
                <w:szCs w:val="20"/>
              </w:rPr>
              <w:t xml:space="preserve">[3]</w:t>
            </w:r>
            <w:bookmarkEnd w:id="53271871204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Vergleich ist eine kosten- und zeiteffiziente Möglichkeit,
um einen Rechtsstreit zu beenden. Auch der Gesetzgeber sieht an
mehreren Stellen die Anregung eines Vergleichs auch während eines
laufenden Gerichtsverfahrens ausdrücklich vor (§§ 204, 258
Abs 1 Z 4). Es ist jedenfalls damit zu rechnen, dass
Richterinnen und Richter ein hohes Interesse haben, dass sich die
Parteien vergleichen. Daher ist idR für gesonderte
Vergleichstagsatzungen mit einigem Entgegenkommen bei der
Terminausschreibung zu rechnen, zumal eine derartige Tagsatzung ja
in der Regel auch nicht von langer Dauer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828558" w:name="note4"/>
            <w:bookmarkEnd w:id="63828558"/>
            <w:bookmarkStart w:id="7627211568914" w:name="note4"/>
            <w:r>
              <w:rPr>
                <w:rFonts w:ascii="Arial" w:hAnsi="Arial" w:eastAsia="Arial" w:cs="Arial"/>
                <w:b/>
                <w:bCs/>
                <w:color w:val="000000"/>
                <w:position w:val="0"/>
                <w:sz w:val="20"/>
                <w:szCs w:val="20"/>
              </w:rPr>
              <w:t xml:space="preserve">[4]</w:t>
            </w:r>
            <w:bookmarkEnd w:id="76272115689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Wirklich sinnvoll ist eine gesonderte Vergleichstagsatzung
freilich nur, wenn ein Vergleich mit an Sicherheit grenzender
Wahrscheinlichkeit abgeschlossen werden kann. Ansonsten entstehen
den Parteien zusätzliche Kosten für eine sinnlose Tagsatzung.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341385" w:name="note5"/>
            <w:bookmarkEnd w:id="85341385"/>
            <w:bookmarkStart w:id="3540304505791" w:name="note5"/>
            <w:r>
              <w:rPr>
                <w:rFonts w:ascii="Arial" w:hAnsi="Arial" w:eastAsia="Arial" w:cs="Arial"/>
                <w:b/>
                <w:bCs/>
                <w:color w:val="000000"/>
                <w:position w:val="0"/>
                <w:sz w:val="20"/>
                <w:szCs w:val="20"/>
              </w:rPr>
              <w:t xml:space="preserve">[5]</w:t>
            </w:r>
            <w:bookmarkEnd w:id="35403045057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Prämienvergleich könnte auch außergerichtlich abgeschlossen
werden. Der Nachteil ist hier allerdings wie bei jedem
außergerichtlichen Vergleich, dass kein Exekutionstitel geschaffen
werden würde. Der Druck auf den Schuldner zur Zahlung ist daher
nicht so groß, weil das Verfahren immer noch etwas verzögert werden
kann. Bei einem außergerichtlichen Prämienvergleich kann dagegen
aber auch die Formulierung freier gewählt werden. Es können
Bedingungen eingebaut werden etc. Dies alles ist bei einem
gerichtlichen Prämienvergleich nicht möglich, wie sogleich gezeigt
werden wird.</w:t>
            </w:r>
          </w:p>
        </w:tc>
      </w:tr>
    </w:tbl>
    <w:p/>
    <w:tbl>
      <w:tblPr>
        <w:tblStyle w:val="NormalTablePHPDOCX"/>
        <w:tblW w:w="0" w:type="auto"/>
        <w:tblInd w:w="0" w:type="auto"/>
        <w:tblBorders/>
      </w:tblPr>
      <w:tblGrid>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7052628" w:name="note6"/>
            <w:bookmarkEnd w:id="97052628"/>
            <w:bookmarkStart w:id="7007973027462" w:name="note6"/>
            <w:r>
              <w:rPr>
                <w:rFonts w:ascii="Arial" w:hAnsi="Arial" w:eastAsia="Arial" w:cs="Arial"/>
                <w:b/>
                <w:bCs/>
                <w:color w:val="000000"/>
                <w:position w:val="0"/>
                <w:sz w:val="20"/>
                <w:szCs w:val="20"/>
              </w:rPr>
              <w:t xml:space="preserve">[6]</w:t>
            </w:r>
            <w:bookmarkEnd w:id="7007973027462"/>
          </w:p>
        </w:tc>
        <w:tc>
          <w:tcPr>
            <w:tcW w:w="4670" w:type="pct"/>
            <w:tcMar>
              <w:top w:w="156" w:type="dxa"/>
              <w:left w:w="0" w:type="auto"/>
              <w:bottom w:w="78" w:type="dxa"/>
              <w:right w:w="0" w:type="auto"/>
            </w:tcMar>
            <w:vAlign w:val="top"/>
          </w:tcPr>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Out of Africa Speditions GmbH ist binnen 14 Tagen bei
sonstiger Exekution schuldig, der Gustav Gruber Handels AG den
Betrag von EUR 400.000,– samt 9,2 % Zinsen über dem
Basiszinssatz seit dem … zu bezahlen und die Verfahrenskosten iHv
EUR 35.468,– zu ersetzen.</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Out of Africa Speditions GmbH kann sich von der
Verpflichtung nach Punkt 1 befreien, wenn sie bis zum … der Gustav
Gruber Handels AG den Pauschalbetrag von EUR 350.000,–
bezahlt.</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Formulierung ist der so genannte Prämienvergleich. Die
Stellung der einzelnen Teile des Vergleiches ist eventuell nicht
intuitiv, aber bei einem gerichtlichen Prämienvergleich unbedingt
so einzuhalten. Sie ist erforderlich, um einen wirksamen
Exekutionstitel zu bilden. Die Systematik des Prämienvergleichs
ist, dass eine Zahlungsverpflichtung über die Gesamtforderung oder
zumindest über einen wesentlichen Teil davon geschaffen wird. Diese
Zahlungsverpflichtung ist vollkommen unbedingt formuliert und
bildet dadurch einen tauglichen Exekutionstitel. Würde ein
Exekutionstitel eine Bedingung enthalten, so müsste der Eintritt
dieser Bedingung gem § 7 Abs 2 EO durch öffentliche oder
öffentlich beglaubigte Urkunden. Eine derartige Urkunde wird idR
nicht zu erlangen sein, sodass die Exekution ausscheiden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536778" w:name="note7"/>
            <w:bookmarkEnd w:id="34536778"/>
            <w:bookmarkStart w:id="1030343929659" w:name="note7"/>
            <w:r>
              <w:rPr>
                <w:rFonts w:ascii="Arial" w:hAnsi="Arial" w:eastAsia="Arial" w:cs="Arial"/>
                <w:b/>
                <w:bCs/>
                <w:color w:val="000000"/>
                <w:position w:val="0"/>
                <w:sz w:val="20"/>
                <w:szCs w:val="20"/>
              </w:rPr>
              <w:t xml:space="preserve">[7]</w:t>
            </w:r>
            <w:bookmarkEnd w:id="103034392965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Falsche Formulierungen wären zB: „Wenn die Firma A der Firma B
in einer Woche nicht EUR 10.000,– bezahlt, dann zahlt sie in
zwei Wochen EUR 20.000,–“, oder „Firma A ist bei sonstiger
Exekution schuldig, der Firma B binnen einer Woche
EUR 10.000,– oder binnen 2 Wochen EUR 20.000,– zu
bezahlen“ usw.</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5143979" w:name="note8"/>
            <w:bookmarkEnd w:id="25143979"/>
            <w:bookmarkStart w:id="7637922189478" w:name="note8"/>
            <w:r>
              <w:rPr>
                <w:rFonts w:ascii="Arial" w:hAnsi="Arial" w:eastAsia="Arial" w:cs="Arial"/>
                <w:b/>
                <w:bCs/>
                <w:color w:val="000000"/>
                <w:position w:val="0"/>
                <w:sz w:val="20"/>
                <w:szCs w:val="20"/>
              </w:rPr>
              <w:t xml:space="preserve">[8]</w:t>
            </w:r>
            <w:bookmarkEnd w:id="76379221894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Schuldner den geringeren Betrag rechtzeitig bezahlt,
ist er von jeder weiteren Leistung frei. Gegen eine dennoch
aufgrund des Exekutionstitels vom Gläubiger eingeleiteten Exekution
steht dem Schuldner die Oppositionsklage nach § 35 EO bzw ein
Antrag nach § 40 Abs 1 EO offen.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0971230" w:name="note9"/>
            <w:bookmarkEnd w:id="80971230"/>
            <w:bookmarkStart w:id="927269834346" w:name="note9"/>
            <w:r>
              <w:rPr>
                <w:rFonts w:ascii="Arial" w:hAnsi="Arial" w:eastAsia="Arial" w:cs="Arial"/>
                <w:b/>
                <w:bCs/>
                <w:color w:val="000000"/>
                <w:position w:val="0"/>
                <w:sz w:val="20"/>
                <w:szCs w:val="20"/>
              </w:rPr>
              <w:t xml:space="preserve">[9]</w:t>
            </w:r>
            <w:bookmarkEnd w:id="9272698343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Musterbeispiel wird die Bereinigung sämtlicher Ansprüche
angestrebt. Bei einer derartigen Klausel ist stets zu überlegen,
welche anderen Ansprüche zwischen den Parteien bestehen, die
allenfalls mit der strittigen Sache in überhaupt keinem
Zusammenhang stehen.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26315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5001309">
    <w:multiLevelType w:val="hybridMultilevel"/>
    <w:lvl w:ilvl="0" w:tplc="74388997">
      <w:start w:val="1"/>
      <w:numFmt w:val="decimal"/>
      <w:lvlText w:val="%1."/>
      <w:lvlJc w:val="left"/>
      <w:pPr>
        <w:ind w:left="720" w:hanging="360"/>
      </w:pPr>
    </w:lvl>
    <w:lvl w:ilvl="1" w:tplc="74388997" w:tentative="1">
      <w:start w:val="1"/>
      <w:numFmt w:val="lowerLetter"/>
      <w:lvlText w:val="%2."/>
      <w:lvlJc w:val="left"/>
      <w:pPr>
        <w:ind w:left="1440" w:hanging="360"/>
      </w:pPr>
    </w:lvl>
    <w:lvl w:ilvl="2" w:tplc="74388997" w:tentative="1">
      <w:start w:val="1"/>
      <w:numFmt w:val="lowerRoman"/>
      <w:lvlText w:val="%3."/>
      <w:lvlJc w:val="right"/>
      <w:pPr>
        <w:ind w:left="2160" w:hanging="180"/>
      </w:pPr>
    </w:lvl>
    <w:lvl w:ilvl="3" w:tplc="74388997" w:tentative="1">
      <w:start w:val="1"/>
      <w:numFmt w:val="decimal"/>
      <w:lvlText w:val="%4."/>
      <w:lvlJc w:val="left"/>
      <w:pPr>
        <w:ind w:left="2880" w:hanging="360"/>
      </w:pPr>
    </w:lvl>
    <w:lvl w:ilvl="4" w:tplc="74388997" w:tentative="1">
      <w:start w:val="1"/>
      <w:numFmt w:val="lowerLetter"/>
      <w:lvlText w:val="%5."/>
      <w:lvlJc w:val="left"/>
      <w:pPr>
        <w:ind w:left="3600" w:hanging="360"/>
      </w:pPr>
    </w:lvl>
    <w:lvl w:ilvl="5" w:tplc="74388997" w:tentative="1">
      <w:start w:val="1"/>
      <w:numFmt w:val="lowerRoman"/>
      <w:lvlText w:val="%6."/>
      <w:lvlJc w:val="right"/>
      <w:pPr>
        <w:ind w:left="4320" w:hanging="180"/>
      </w:pPr>
    </w:lvl>
    <w:lvl w:ilvl="6" w:tplc="74388997" w:tentative="1">
      <w:start w:val="1"/>
      <w:numFmt w:val="decimal"/>
      <w:lvlText w:val="%7."/>
      <w:lvlJc w:val="left"/>
      <w:pPr>
        <w:ind w:left="5040" w:hanging="360"/>
      </w:pPr>
    </w:lvl>
    <w:lvl w:ilvl="7" w:tplc="74388997" w:tentative="1">
      <w:start w:val="1"/>
      <w:numFmt w:val="lowerLetter"/>
      <w:lvlText w:val="%8."/>
      <w:lvlJc w:val="left"/>
      <w:pPr>
        <w:ind w:left="5760" w:hanging="360"/>
      </w:pPr>
    </w:lvl>
    <w:lvl w:ilvl="8" w:tplc="74388997" w:tentative="1">
      <w:start w:val="1"/>
      <w:numFmt w:val="lowerRoman"/>
      <w:lvlText w:val="%9."/>
      <w:lvlJc w:val="right"/>
      <w:pPr>
        <w:ind w:left="6480" w:hanging="180"/>
      </w:pPr>
    </w:lvl>
  </w:abstractNum>
  <w:abstractNum w:abstractNumId="27440286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5001308">
    <w:multiLevelType w:val="hybridMultilevel"/>
    <w:lvl w:ilvl="0" w:tplc="58607313">
      <w:start w:val="1"/>
      <w:numFmt w:val="decimal"/>
      <w:lvlText w:val="%1."/>
      <w:lvlJc w:val="left"/>
      <w:pPr>
        <w:ind w:left="720" w:hanging="360"/>
      </w:pPr>
    </w:lvl>
    <w:lvl w:ilvl="1" w:tplc="58607313" w:tentative="1">
      <w:start w:val="1"/>
      <w:numFmt w:val="lowerLetter"/>
      <w:lvlText w:val="%2."/>
      <w:lvlJc w:val="left"/>
      <w:pPr>
        <w:ind w:left="1440" w:hanging="360"/>
      </w:pPr>
    </w:lvl>
    <w:lvl w:ilvl="2" w:tplc="58607313" w:tentative="1">
      <w:start w:val="1"/>
      <w:numFmt w:val="lowerRoman"/>
      <w:lvlText w:val="%3."/>
      <w:lvlJc w:val="right"/>
      <w:pPr>
        <w:ind w:left="2160" w:hanging="180"/>
      </w:pPr>
    </w:lvl>
    <w:lvl w:ilvl="3" w:tplc="58607313" w:tentative="1">
      <w:start w:val="1"/>
      <w:numFmt w:val="decimal"/>
      <w:lvlText w:val="%4."/>
      <w:lvlJc w:val="left"/>
      <w:pPr>
        <w:ind w:left="2880" w:hanging="360"/>
      </w:pPr>
    </w:lvl>
    <w:lvl w:ilvl="4" w:tplc="58607313" w:tentative="1">
      <w:start w:val="1"/>
      <w:numFmt w:val="lowerLetter"/>
      <w:lvlText w:val="%5."/>
      <w:lvlJc w:val="left"/>
      <w:pPr>
        <w:ind w:left="3600" w:hanging="360"/>
      </w:pPr>
    </w:lvl>
    <w:lvl w:ilvl="5" w:tplc="58607313" w:tentative="1">
      <w:start w:val="1"/>
      <w:numFmt w:val="lowerRoman"/>
      <w:lvlText w:val="%6."/>
      <w:lvlJc w:val="right"/>
      <w:pPr>
        <w:ind w:left="4320" w:hanging="180"/>
      </w:pPr>
    </w:lvl>
    <w:lvl w:ilvl="6" w:tplc="58607313" w:tentative="1">
      <w:start w:val="1"/>
      <w:numFmt w:val="decimal"/>
      <w:lvlText w:val="%7."/>
      <w:lvlJc w:val="left"/>
      <w:pPr>
        <w:ind w:left="5040" w:hanging="360"/>
      </w:pPr>
    </w:lvl>
    <w:lvl w:ilvl="7" w:tplc="58607313" w:tentative="1">
      <w:start w:val="1"/>
      <w:numFmt w:val="lowerLetter"/>
      <w:lvlText w:val="%8."/>
      <w:lvlJc w:val="left"/>
      <w:pPr>
        <w:ind w:left="5760" w:hanging="360"/>
      </w:pPr>
    </w:lvl>
    <w:lvl w:ilvl="8" w:tplc="58607313" w:tentative="1">
      <w:start w:val="1"/>
      <w:numFmt w:val="lowerRoman"/>
      <w:lvlText w:val="%9."/>
      <w:lvlJc w:val="right"/>
      <w:pPr>
        <w:ind w:left="6480" w:hanging="180"/>
      </w:pPr>
    </w:lvl>
  </w:abstractNum>
  <w:abstractNum w:abstractNumId="15001307">
    <w:multiLevelType w:val="hybridMultilevel"/>
    <w:lvl w:ilvl="0" w:tplc="65173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01307">
    <w:abstractNumId w:val="15001307"/>
  </w:num>
  <w:num w:numId="15001308">
    <w:abstractNumId w:val="15001308"/>
  </w:num>
  <w:num w:numId="274402869">
    <w:abstractNumId w:val="274402869"/>
  </w:num>
  <w:num w:numId="15001309">
    <w:abstractNumId w:val="15001309"/>
  </w:num>
  <w:num w:numId="723263152">
    <w:abstractNumId w:val="7232631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9678119" Type="http://schemas.openxmlformats.org/officeDocument/2006/relationships/numbering" Target="numbering.xml"/><Relationship Id="rId5012184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