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1946503" w:name="document"/>
    <w:bookmarkEnd w:id="21946503"/>
    <w:p/>
    <w:p>
      <w:pPr>
        <w:widowControl w:val="on"/>
        <w:pBdr/>
        <w:spacing w:before="0" w:after="280" w:line="240" w:lineRule="auto"/>
        <w:ind w:left="0" w:right="0"/>
        <w:jc w:val="left"/>
      </w:pPr>
      <w:r>
        <w:rPr>
          <w:rFonts w:ascii="Arial" w:hAnsi="Arial" w:eastAsia="Arial" w:cs="Arial"/>
          <w:color w:val="363A40"/>
          <w:sz w:val="24"/>
          <w:szCs w:val="24"/>
        </w:rPr>
        <w:t xml:space="preserve">Dokument-ID: 1105125 | Wolfgang Schöberl -
FORUM Media (azo)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Überlassung einer Verlassenschaft an Zahlungs
statt</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Hollabrunn</w:t>
      </w:r>
      <w:r>
        <w:rPr>
          <w:rFonts w:ascii="Arial" w:hAnsi="Arial" w:eastAsia="Arial" w:cs="Arial"/>
          <w:color w:val="000000"/>
          <w:sz w:val="20"/>
          <w:szCs w:val="20"/>
        </w:rPr>
        <w:br/>
        <w:t xml:space="preserve">Winiwarterstraße 2</w:t>
      </w:r>
      <w:r>
        <w:rPr>
          <w:rFonts w:ascii="Arial" w:hAnsi="Arial" w:eastAsia="Arial" w:cs="Arial"/>
          <w:color w:val="000000"/>
          <w:sz w:val="20"/>
          <w:szCs w:val="20"/>
        </w:rPr>
        <w:br/>
        <w:t xml:space="preserve">2020 Hollabrunn</w:t>
      </w:r>
    </w:p>
    <w:p>
      <w:pPr>
        <w:widowControl w:val="on"/>
        <w:pBdr/>
        <w:spacing w:before="140" w:after="240" w:line="288" w:lineRule="auto"/>
        <w:ind w:left="0" w:right="0"/>
        <w:jc w:val="right"/>
      </w:pPr>
      <w:r>
        <w:rPr>
          <w:rFonts w:ascii="Arial" w:hAnsi="Arial" w:eastAsia="Arial" w:cs="Arial"/>
          <w:color w:val="000000"/>
          <w:sz w:val="20"/>
          <w:szCs w:val="20"/>
        </w:rPr>
        <w:t xml:space="preserve"> GZ: …</w:t>
      </w:r>
      <w:r>
        <w:rPr>
          <w:rFonts w:ascii="Arial" w:hAnsi="Arial" w:eastAsia="Arial" w:cs="Arial"/>
          <w:color w:val="000000"/>
          <w:sz w:val="20"/>
          <w:szCs w:val="20"/>
        </w:rPr>
        <w:br/>
        <w:t xml:space="preserve">Wien, am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Verlassenschaftssache nach Charlotte
Gantner, geboren 10.02.1944, verstorben …, zuletzt wohnhaft gewesen
in Weinviertlerstraße 2, 2020 Hollabrunn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Gerlinde Gantner</w:t>
            </w:r>
            <w:r>
              <w:rPr>
                <w:rFonts w:ascii="Arial" w:hAnsi="Arial" w:eastAsia="Arial" w:cs="Arial"/>
                <w:color w:val="000000"/>
                <w:position w:val="0"/>
                <w:sz w:val="20"/>
                <w:szCs w:val="20"/>
                <w:shd w:val="clear" w:color="auto" w:fill="FFFFFF"/>
              </w:rPr>
              <w:br/>
              <w:t xml:space="preserve">Hauptstraße 18</w:t>
            </w:r>
            <w:r>
              <w:rPr>
                <w:rFonts w:ascii="Arial" w:hAnsi="Arial" w:eastAsia="Arial" w:cs="Arial"/>
                <w:color w:val="000000"/>
                <w:position w:val="0"/>
                <w:sz w:val="20"/>
                <w:szCs w:val="20"/>
                <w:shd w:val="clear" w:color="auto" w:fill="FFFFFF"/>
              </w:rPr>
              <w:br/>
              <w:t xml:space="preserve">2020 Hollabrunn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Antonia Anwältin</w:t>
            </w:r>
            <w:r>
              <w:rPr>
                <w:rFonts w:ascii="Arial" w:hAnsi="Arial" w:eastAsia="Arial" w:cs="Arial"/>
                <w:color w:val="000000"/>
                <w:position w:val="0"/>
                <w:sz w:val="20"/>
                <w:szCs w:val="20"/>
                <w:shd w:val="clear" w:color="auto" w:fill="FFFFFF"/>
              </w:rPr>
              <w:br/>
              <w:t xml:space="preserve">Große Gasse 7</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unter Berufung auf die erteilte Vollmacht gem § 30 Abs 2
ZPO</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Überlassung der
Verlassenschaft an Zahlungs statt</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ist das einzige Kind der verwitweten
Verstorbenen Charlotte Gantner, Todestag …</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gab am … die bedingte Erbantrittserklärung
zur gesamten Verlassenschaft aufgrund des Gesetzes ab. Auf die
Rechtsnachfolge von Todes wegen ist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Gem dem am … errichteten Inventar weist die Verlassenschaft
Aktiva von EUR 8.200,– und Passiva von EUR 28.000,– auf.
Die Verlassenschaft ist daher überschuldet.</w:t>
      </w:r>
    </w:p>
    <w:p>
      <w:pPr>
        <w:widowControl w:val="on"/>
        <w:pBdr/>
        <w:spacing w:before="140" w:after="240" w:line="288" w:lineRule="auto"/>
        <w:ind w:left="0" w:right="0"/>
        <w:jc w:val="left"/>
      </w:pPr>
      <w:r>
        <w:rPr>
          <w:rFonts w:ascii="Arial" w:hAnsi="Arial" w:eastAsia="Arial" w:cs="Arial"/>
          <w:color w:val="000000"/>
          <w:sz w:val="20"/>
          <w:szCs w:val="20"/>
        </w:rPr>
        <w:t xml:space="preserve">Die Verlassenschaftsaktiva bestehen in einer Wohn- und
Schlafzimmereinrichtung von stilechten Bauernmöbeln, deren Wert im
Zuge der Inventarerrichtung von einem gerichtlich beeideten
Sachverständigen für Möbel- und Kunsttischlerarbeiten mit
EUR 8.200,– geschätzt wurde. Sie sind als Position „eins“ der
Verlassenschaftsaktiva im Inventar verzeichnet. Das Schätzgutachten
wurde von sämtlichen Verfahrensparteien anerkannt. Die Bauernmöbel
sind von hohem emotionalem Wert für die Antragstellerin.</w:t>
      </w:r>
    </w:p>
    <w:p>
      <w:pPr>
        <w:widowControl w:val="on"/>
        <w:pBdr/>
        <w:spacing w:before="140" w:after="240" w:line="288" w:lineRule="auto"/>
        <w:ind w:left="0" w:right="0"/>
        <w:jc w:val="left"/>
      </w:pPr>
      <w:r>
        <w:rPr>
          <w:rFonts w:ascii="Arial" w:hAnsi="Arial" w:eastAsia="Arial" w:cs="Arial"/>
          <w:color w:val="000000"/>
          <w:sz w:val="20"/>
          <w:szCs w:val="20"/>
        </w:rPr>
        <w:t xml:space="preserve">Von den Verlassenschaftspassiva entfallen EUR 12.000,– auf
die Forderung der Antragstellerin, die die privat organisierte
Pflege der Verstorbenen in deren letzten Lebensmonaten bezahlt
hat.</w:t>
      </w:r>
    </w:p>
    <w:p>
      <w:pPr>
        <w:widowControl w:val="on"/>
        <w:pBdr/>
        <w:spacing w:before="140" w:after="240" w:line="288" w:lineRule="auto"/>
        <w:ind w:left="0" w:right="0"/>
        <w:jc w:val="left"/>
      </w:pPr>
      <w:r>
        <w:rPr>
          <w:rFonts w:ascii="Arial" w:hAnsi="Arial" w:eastAsia="Arial" w:cs="Arial"/>
          <w:color w:val="000000"/>
          <w:sz w:val="20"/>
          <w:szCs w:val="20"/>
        </w:rPr>
        <w:t xml:space="preserve">Eine weitere Verlassenschaftsverbindlichkeit in Höhe von
EUR 16.000,– besteht gegenüber der Weinviertler Autohaus GmbH,
Industriegebiet 12, 2020 Hollabrunn.</w:t>
      </w:r>
    </w:p>
    <w:p>
      <w:pPr>
        <w:widowControl w:val="on"/>
        <w:pBdr/>
        <w:spacing w:before="140" w:after="240" w:line="288" w:lineRule="auto"/>
        <w:ind w:left="0" w:right="0"/>
        <w:jc w:val="left"/>
      </w:pPr>
      <w:r>
        <w:rPr>
          <w:rFonts w:ascii="Arial" w:hAnsi="Arial" w:eastAsia="Arial" w:cs="Arial"/>
          <w:color w:val="000000"/>
          <w:sz w:val="20"/>
          <w:szCs w:val="20"/>
        </w:rPr>
        <w:t xml:space="preserve">Die genannten Forderungen gegen die Verlassenschaft wurden nicht
bestritten.</w:t>
      </w:r>
    </w:p>
    <w:p>
      <w:pPr>
        <w:widowControl w:val="on"/>
        <w:pBdr/>
        <w:spacing w:before="140" w:after="240" w:line="288" w:lineRule="auto"/>
        <w:ind w:left="0" w:right="0"/>
        <w:jc w:val="left"/>
      </w:pPr>
      <w:r>
        <w:rPr>
          <w:rFonts w:ascii="Arial" w:hAnsi="Arial" w:eastAsia="Arial" w:cs="Arial"/>
          <w:color w:val="000000"/>
          <w:sz w:val="20"/>
          <w:szCs w:val="20"/>
        </w:rPr>
        <w:t xml:space="preserve">Für die Verstorbene war kein Erwachsenenvertreter bestellt.</w:t>
      </w:r>
    </w:p>
    <w:p>
      <w:pPr>
        <w:widowControl w:val="on"/>
        <w:pBdr/>
        <w:spacing w:before="140" w:after="240" w:line="288" w:lineRule="auto"/>
        <w:ind w:left="0" w:right="0"/>
        <w:jc w:val="left"/>
      </w:pPr>
      <w:r>
        <w:rPr>
          <w:rFonts w:ascii="Arial" w:hAnsi="Arial" w:eastAsia="Arial" w:cs="Arial"/>
          <w:color w:val="000000"/>
          <w:sz w:val="20"/>
          <w:szCs w:val="20"/>
        </w:rPr>
        <w:t xml:space="preserve">Die tarifmäßige Gebühr des Gerichtskommissärs für die
Verlassenschaftsabhandlung beträgt EUR 799,30 und die Gebühr
des Sachverständigen für die Schätzung EUR 400,70. Nach Abzug
dieser Kosten des Verlassenschaftsverfahrens in Höhe von insgesamt
EUR 1.200,– finden die Verlassenschaftsforderungen daher in
den verbleibenden Aktiva von EUR 7.000,– verhältnismäßig mit
EUR 3.000,– (Forderung der Antragstellerin) und
EUR 4.000,– (Forderung der Weinviertler Autohaus GmbH)
Deckung.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Rechtliche Begründung</w:t>
      </w:r>
    </w:p>
    <w:p>
      <w:pPr>
        <w:widowControl w:val="on"/>
        <w:pBdr/>
        <w:spacing w:before="140" w:after="240" w:line="288" w:lineRule="auto"/>
        <w:ind w:left="0" w:right="0"/>
        <w:jc w:val="left"/>
      </w:pPr>
      <w:r>
        <w:rPr>
          <w:rFonts w:ascii="Arial" w:hAnsi="Arial" w:eastAsia="Arial" w:cs="Arial"/>
          <w:color w:val="000000"/>
          <w:sz w:val="20"/>
          <w:szCs w:val="20"/>
        </w:rPr>
        <w:t xml:space="preserve">Gem § 154 AußStrG hat das Gericht die Aktiven einer
überschuldeten Verlassenschaft auf Antrag den Gläubigern zu
überlassen, wenn nicht schon eine unbedingte Erbantrittserklärung
oder ein Antrag auf Überlassung als erblos vorliegt und kein
Verlassenschaftsinsolvenzverfahren eröffnet wurde. Diese
Negativvoraussetzungen liegen nicht vor. Weiters muss auf die
Rechtsnachfolge von Todes wegen österreichisches Recht anzuwenden
sein, was in concreto der Fall ist. Die Überlassung der Aktivmasse
kann auch nur an einen Gläubiger erfolgen, wenn beschlussmäßig
ausgesprochen wird, dass dieser verpflichtet ist, die übrigen
Verbindlichkeiten verhältnismäßig zu bezahlen (in diesem Sinn EFSlg
129.683).</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Es wird beantragt zu erlassen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p>
      <w:pPr>
        <w:numPr>
          <w:ilvl w:val="0"/>
          <w:numId w:val="8302273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Verlassenschaft nach der am … verstorbenen Charlotte
Gantner, zuletzt wohnhaft gewesen in Weinviertlerstraße 2, 2020
Hollabrunn, deren Aktiva aus der in Position „eins“ des Inventars
vom 05.05.2017 verzeichneten Wohn- und Schlafzimmereinrichtung von
stilechten Bauernmöbeln bestehen, wird der erblichen Tochter
Gerlinde Gantner, Hauptstraße 18, 2020 Hollabrunn, an Zahlungs
statt überlassen.</w:t>
      </w:r>
    </w:p>
    <w:p>
      <w:pPr>
        <w:numPr>
          <w:ilvl w:val="0"/>
          <w:numId w:val="8302273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Gerlinde Gantner ist verpflichtet, die mit EUR 799,30
bestimmte Gebühr des Gerichtskommissärs Dr. Nils Notar, Hauptstraße
7, 2020 Hollabrunn, und die mit EUR 400,70 bestimmte Gebühr
des Sachverständigen Thomas Tischler, Hauptstraße 46, 2020
Hollabrunn, zu bezahlen.</w:t>
      </w:r>
    </w:p>
    <w:p>
      <w:pPr>
        <w:numPr>
          <w:ilvl w:val="0"/>
          <w:numId w:val="8302273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Gerlinde Gantner ist verpflichtet, die Forderung der
Weinviertler Autohaus GmbH verhältnismäßig, das ist mit dem Betrag
von EUR 4.000,–,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840730" w:name="note1"/>
            <w:bookmarkEnd w:id="72840730"/>
            <w:bookmarkStart w:id="8230555324031" w:name="note1"/>
            <w:r>
              <w:rPr>
                <w:rFonts w:ascii="Arial" w:hAnsi="Arial" w:eastAsia="Arial" w:cs="Arial"/>
                <w:b/>
                <w:bCs/>
                <w:color w:val="000000"/>
                <w:position w:val="0"/>
                <w:sz w:val="20"/>
                <w:szCs w:val="20"/>
              </w:rPr>
              <w:t xml:space="preserve">[1]</w:t>
            </w:r>
            <w:bookmarkEnd w:id="82305553240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die Überlassung der Verlassenschaft an Zahlungs statt –
auch bezeichnet als „iure-crediti-Einantwortung“ – erhalten ein
oder mehrere Verlassenschaftsgläubiger die Aktiva einer
überschuldeten Verlassenschaft gewissermaßen als Abschlag auf ihre
Forderungen. So kann die Einleitung eines in der Regel wesentlich
kostspieligeren Insolvenzverfahrens vermieden werden. Dieses
Verfahren ist sohin neben der Verlassenschaftsinsolvenz und der
Übernahme von Verlassenschaften oder Teilen davon nach § 153
AußStrG eine der Möglichkeiten des Unterbleibens eines
Verlassenschaftsverfahrens.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657859" w:name="note2"/>
            <w:bookmarkEnd w:id="53657859"/>
            <w:bookmarkStart w:id="6369081942023" w:name="note2"/>
            <w:r>
              <w:rPr>
                <w:rFonts w:ascii="Arial" w:hAnsi="Arial" w:eastAsia="Arial" w:cs="Arial"/>
                <w:b/>
                <w:bCs/>
                <w:color w:val="000000"/>
                <w:position w:val="0"/>
                <w:sz w:val="20"/>
                <w:szCs w:val="20"/>
              </w:rPr>
              <w:t xml:space="preserve">[2]</w:t>
            </w:r>
            <w:bookmarkEnd w:id="636908194202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Überlassung an Zahlungs statt stellt gem § 798 ABGB
einen sachenrechtlichen Erwerbstitel dar, wobei mit dem ErbRÄG 2015
klargestellt wurde, dass auch die gerichtliche Ermächtigung bei
Unterbleiben der Abhandlung, das Verlassenschaftsvermögen ganz oder
zu bestimmten Teilen zu übernehmen (§ 153 AußStrG), ein
derartiger sachenrechtlicher Erwerbstitel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163758" w:name="note3"/>
            <w:bookmarkEnd w:id="18163758"/>
            <w:bookmarkStart w:id="1580357439072" w:name="note3"/>
            <w:r>
              <w:rPr>
                <w:rFonts w:ascii="Arial" w:hAnsi="Arial" w:eastAsia="Arial" w:cs="Arial"/>
                <w:b/>
                <w:bCs/>
                <w:color w:val="000000"/>
                <w:position w:val="0"/>
                <w:sz w:val="20"/>
                <w:szCs w:val="20"/>
              </w:rPr>
              <w:t xml:space="preserve">[3]</w:t>
            </w:r>
            <w:bookmarkEnd w:id="15803574390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Prozedere der Überlassung der Verlassenschaft an Zahlungs
statt ist im Einzelnen in den §§ 154, 155 ff AußStrG geregelt
Ist auf die Rechtsnachfolge von Todes wegen österreichisches Recht
anzuwenden, so hat das Gericht die Aktiven einer überschuldeten
Verlassenschaft auf Antrag den Gläubigern zu überlassen, wenn nicht
schon eine unbedingte Erbantrittserklärung oder ein Antrag auf
Überlassung als erblos vorliegt und kein
Verlassenschaftsinsolvenzverfahren eröffnet wurde.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154 Abs 1 AußStrG). Wäre das nicht der Fall, würde
sich der Vermögensübergang nämlich nach dem jeweiligen fremden
Erbrecht richten. Dies kommt in erster Linie infrage, wenn der
Verstorbene gem der EuErbVO eine Rechtswahl zugunsten seines
ausländischen Heimatrechtes getroffen hat.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622769" w:name="note4"/>
            <w:bookmarkEnd w:id="92622769"/>
            <w:bookmarkStart w:id="4717897956331" w:name="note4"/>
            <w:r>
              <w:rPr>
                <w:rFonts w:ascii="Arial" w:hAnsi="Arial" w:eastAsia="Arial" w:cs="Arial"/>
                <w:b/>
                <w:bCs/>
                <w:color w:val="000000"/>
                <w:position w:val="0"/>
                <w:sz w:val="20"/>
                <w:szCs w:val="20"/>
              </w:rPr>
              <w:t xml:space="preserve">[4]</w:t>
            </w:r>
            <w:bookmarkEnd w:id="47178979563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Antrag eines Gläubigers ist dann das Vermögen zu verteilen,
wobei vorweg Aus- und Absonderungsrechte zu befriedigen sind. Die
Verteilung des Vermögens an die personalen Gläubiger erfolgt dann
nach § 154 Abs 2 Z 1 AußStrG folgendermaßen: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den Aktiva sind zunächst in sinngemäßer Anwendung der
§§ 46 und 47 IO die „Masseforderungen“, das sind insbesondere
die Kosten des Verlassenschaftsverfahrens (Gebühren des
Gerichtskommissärs, Verlassenschaftskurators etc) sowie die
Begräbniskosten, zur Gänze zu bezahlen, wobei bezüglich der
Begräbniskosten auf § 549 ABGB bzw auf § 46 Abs 1
Z 7 IO sowie auch auf die Entscheidung OGH 9.3.1999, 4 Ob
55/99p verwiesen wird. Sodann sind ebenfalls zur Gänze Beträge an
den gesetzlichen Vertreter des Verstorbenen, zu bezahlen, soweit
ihm beschlussmäßig Beträge zuerkannt wurden;, und schließlich an
alle übrigen Gläubiger, jeweils im Verhältnis der Höhe ihrer
unbestrittenen oder durch unbedenkliche Urkunden bescheinigte
Forderungen (§ 154 Abs 2 AußStrG).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Übersteigt der Wert der Aktiven voraussichtlich
EUR 5.000,–, so hat der Gerichtskommissär vor der Überlassung
an Zahlungs statt die aktenkundigen Gläubiger und jene
aktenkundigen Personen, die als Erben oder Pflichtteilsberechtigte
infrage kommen, zu verständigen, soweit deren Aufenthalt bekannt
ist, und ihnen Gelegenheit zur Äußerung zu geben.</w:t>
            </w:r>
            <w:r>
              <w:rPr>
                <w:rFonts w:ascii="Arial" w:hAnsi="Arial" w:eastAsia="Arial" w:cs="Arial"/>
                <w:color w:val="000000"/>
                <w:position w:val="0"/>
                <w:sz w:val="20"/>
                <w:szCs w:val="20"/>
              </w:rPr>
              <w:br/>
              <w:t xml:space="preserve">Übersteigt der Wert der Aktiven voraussichtlich EUR 25.000,–,
so sind die Verlassenschaftsgläubiger aufzufordern.</w:t>
            </w:r>
            <w:r>
              <w:rPr>
                <w:rFonts w:ascii="Arial" w:hAnsi="Arial" w:eastAsia="Arial" w:cs="Arial"/>
                <w:color w:val="000000"/>
                <w:position w:val="0"/>
                <w:sz w:val="20"/>
                <w:szCs w:val="20"/>
              </w:rPr>
              <w:br/>
              <w:t xml:space="preserve">Der Beschuss auf Überlassung an Zahlungs statt hat zu
enthalten:</w:t>
            </w:r>
          </w:p>
          <w:p>
            <w:pPr>
              <w:numPr>
                <w:ilvl w:val="0"/>
                <w:numId w:val="851817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Gegenstände, die übergeben werden</w:t>
            </w:r>
          </w:p>
          <w:p>
            <w:pPr>
              <w:numPr>
                <w:ilvl w:val="0"/>
                <w:numId w:val="851817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Vor- und Familiennamen sowie die Anschrift der Personen, denen
die Gegenstände an Zahlungs statt überlassen werden</w:t>
            </w:r>
          </w:p>
          <w:p>
            <w:pPr>
              <w:numPr>
                <w:ilvl w:val="0"/>
                <w:numId w:val="851817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Welche Forderungen dadurch berichtigt werden sollen</w:t>
            </w:r>
          </w:p>
          <w:p>
            <w:pPr>
              <w:numPr>
                <w:ilvl w:val="0"/>
                <w:numId w:val="851817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Allenfalls zur bücherlichen Durchführung erforderliche sonstige
Angaben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817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022737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738052">
    <w:multiLevelType w:val="hybridMultilevel"/>
    <w:lvl w:ilvl="0" w:tplc="93979555">
      <w:start w:val="1"/>
      <w:numFmt w:val="decimal"/>
      <w:lvlText w:val="%1."/>
      <w:lvlJc w:val="left"/>
      <w:pPr>
        <w:ind w:left="720" w:hanging="360"/>
      </w:pPr>
    </w:lvl>
    <w:lvl w:ilvl="1" w:tplc="93979555" w:tentative="1">
      <w:start w:val="1"/>
      <w:numFmt w:val="lowerLetter"/>
      <w:lvlText w:val="%2."/>
      <w:lvlJc w:val="left"/>
      <w:pPr>
        <w:ind w:left="1440" w:hanging="360"/>
      </w:pPr>
    </w:lvl>
    <w:lvl w:ilvl="2" w:tplc="93979555" w:tentative="1">
      <w:start w:val="1"/>
      <w:numFmt w:val="lowerRoman"/>
      <w:lvlText w:val="%3."/>
      <w:lvlJc w:val="right"/>
      <w:pPr>
        <w:ind w:left="2160" w:hanging="180"/>
      </w:pPr>
    </w:lvl>
    <w:lvl w:ilvl="3" w:tplc="93979555" w:tentative="1">
      <w:start w:val="1"/>
      <w:numFmt w:val="decimal"/>
      <w:lvlText w:val="%4."/>
      <w:lvlJc w:val="left"/>
      <w:pPr>
        <w:ind w:left="2880" w:hanging="360"/>
      </w:pPr>
    </w:lvl>
    <w:lvl w:ilvl="4" w:tplc="93979555" w:tentative="1">
      <w:start w:val="1"/>
      <w:numFmt w:val="lowerLetter"/>
      <w:lvlText w:val="%5."/>
      <w:lvlJc w:val="left"/>
      <w:pPr>
        <w:ind w:left="3600" w:hanging="360"/>
      </w:pPr>
    </w:lvl>
    <w:lvl w:ilvl="5" w:tplc="93979555" w:tentative="1">
      <w:start w:val="1"/>
      <w:numFmt w:val="lowerRoman"/>
      <w:lvlText w:val="%6."/>
      <w:lvlJc w:val="right"/>
      <w:pPr>
        <w:ind w:left="4320" w:hanging="180"/>
      </w:pPr>
    </w:lvl>
    <w:lvl w:ilvl="6" w:tplc="93979555" w:tentative="1">
      <w:start w:val="1"/>
      <w:numFmt w:val="decimal"/>
      <w:lvlText w:val="%7."/>
      <w:lvlJc w:val="left"/>
      <w:pPr>
        <w:ind w:left="5040" w:hanging="360"/>
      </w:pPr>
    </w:lvl>
    <w:lvl w:ilvl="7" w:tplc="93979555" w:tentative="1">
      <w:start w:val="1"/>
      <w:numFmt w:val="lowerLetter"/>
      <w:lvlText w:val="%8."/>
      <w:lvlJc w:val="left"/>
      <w:pPr>
        <w:ind w:left="5760" w:hanging="360"/>
      </w:pPr>
    </w:lvl>
    <w:lvl w:ilvl="8" w:tplc="93979555" w:tentative="1">
      <w:start w:val="1"/>
      <w:numFmt w:val="lowerRoman"/>
      <w:lvlText w:val="%9."/>
      <w:lvlJc w:val="right"/>
      <w:pPr>
        <w:ind w:left="6480" w:hanging="180"/>
      </w:pPr>
    </w:lvl>
  </w:abstractNum>
  <w:abstractNum w:abstractNumId="3839640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02180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738051">
    <w:multiLevelType w:val="hybridMultilevel"/>
    <w:lvl w:ilvl="0" w:tplc="96832550">
      <w:start w:val="1"/>
      <w:numFmt w:val="decimal"/>
      <w:lvlText w:val="%1."/>
      <w:lvlJc w:val="left"/>
      <w:pPr>
        <w:ind w:left="720" w:hanging="360"/>
      </w:pPr>
    </w:lvl>
    <w:lvl w:ilvl="1" w:tplc="96832550" w:tentative="1">
      <w:start w:val="1"/>
      <w:numFmt w:val="lowerLetter"/>
      <w:lvlText w:val="%2."/>
      <w:lvlJc w:val="left"/>
      <w:pPr>
        <w:ind w:left="1440" w:hanging="360"/>
      </w:pPr>
    </w:lvl>
    <w:lvl w:ilvl="2" w:tplc="96832550" w:tentative="1">
      <w:start w:val="1"/>
      <w:numFmt w:val="lowerRoman"/>
      <w:lvlText w:val="%3."/>
      <w:lvlJc w:val="right"/>
      <w:pPr>
        <w:ind w:left="2160" w:hanging="180"/>
      </w:pPr>
    </w:lvl>
    <w:lvl w:ilvl="3" w:tplc="96832550" w:tentative="1">
      <w:start w:val="1"/>
      <w:numFmt w:val="decimal"/>
      <w:lvlText w:val="%4."/>
      <w:lvlJc w:val="left"/>
      <w:pPr>
        <w:ind w:left="2880" w:hanging="360"/>
      </w:pPr>
    </w:lvl>
    <w:lvl w:ilvl="4" w:tplc="96832550" w:tentative="1">
      <w:start w:val="1"/>
      <w:numFmt w:val="lowerLetter"/>
      <w:lvlText w:val="%5."/>
      <w:lvlJc w:val="left"/>
      <w:pPr>
        <w:ind w:left="3600" w:hanging="360"/>
      </w:pPr>
    </w:lvl>
    <w:lvl w:ilvl="5" w:tplc="96832550" w:tentative="1">
      <w:start w:val="1"/>
      <w:numFmt w:val="lowerRoman"/>
      <w:lvlText w:val="%6."/>
      <w:lvlJc w:val="right"/>
      <w:pPr>
        <w:ind w:left="4320" w:hanging="180"/>
      </w:pPr>
    </w:lvl>
    <w:lvl w:ilvl="6" w:tplc="96832550" w:tentative="1">
      <w:start w:val="1"/>
      <w:numFmt w:val="decimal"/>
      <w:lvlText w:val="%7."/>
      <w:lvlJc w:val="left"/>
      <w:pPr>
        <w:ind w:left="5040" w:hanging="360"/>
      </w:pPr>
    </w:lvl>
    <w:lvl w:ilvl="7" w:tplc="96832550" w:tentative="1">
      <w:start w:val="1"/>
      <w:numFmt w:val="lowerLetter"/>
      <w:lvlText w:val="%8."/>
      <w:lvlJc w:val="left"/>
      <w:pPr>
        <w:ind w:left="5760" w:hanging="360"/>
      </w:pPr>
    </w:lvl>
    <w:lvl w:ilvl="8" w:tplc="96832550" w:tentative="1">
      <w:start w:val="1"/>
      <w:numFmt w:val="lowerRoman"/>
      <w:lvlText w:val="%9."/>
      <w:lvlJc w:val="right"/>
      <w:pPr>
        <w:ind w:left="6480" w:hanging="180"/>
      </w:pPr>
    </w:lvl>
  </w:abstractNum>
  <w:abstractNum w:abstractNumId="21738050">
    <w:multiLevelType w:val="hybridMultilevel"/>
    <w:lvl w:ilvl="0" w:tplc="84184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38050">
    <w:abstractNumId w:val="21738050"/>
  </w:num>
  <w:num w:numId="21738051">
    <w:abstractNumId w:val="21738051"/>
  </w:num>
  <w:num w:numId="610218071">
    <w:abstractNumId w:val="610218071"/>
  </w:num>
  <w:num w:numId="383964083">
    <w:abstractNumId w:val="383964083"/>
  </w:num>
  <w:num w:numId="21738052">
    <w:abstractNumId w:val="21738052"/>
  </w:num>
  <w:num w:numId="830227376">
    <w:abstractNumId w:val="830227376"/>
  </w:num>
  <w:num w:numId="85181720">
    <w:abstractNumId w:val="85181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9927787" Type="http://schemas.openxmlformats.org/officeDocument/2006/relationships/numbering" Target="numbering.xml"/><Relationship Id="rId4303213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