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4457333" w:name="document"/>
    <w:bookmarkEnd w:id="34457333"/>
    <w:p/>
    <w:p>
      <w:pPr>
        <w:widowControl w:val="on"/>
        <w:pBdr/>
        <w:spacing w:before="0" w:after="280" w:line="240" w:lineRule="auto"/>
        <w:ind w:left="0" w:right="0"/>
        <w:jc w:val="left"/>
      </w:pPr>
      <w:r>
        <w:rPr>
          <w:rFonts w:ascii="Arial" w:hAnsi="Arial" w:eastAsia="Arial" w:cs="Arial"/>
          <w:color w:val="363A40"/>
          <w:sz w:val="24"/>
          <w:szCs w:val="24"/>
        </w:rPr>
        <w:t xml:space="preserve">Dokument-ID: 1112188 | Wolfgang Schöberl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Hypothekar- bzw Pfandrechtsklage</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Wurde für eine Forderung ein Pfandrecht eingeräumt, kann der
Hypothekarschuldner klagsweise in Anspruch genommen werden. Wie
dabei vorzugehen ist, wird anhand des nachstehenden Musters
gezeigt.</w:t>
      </w:r>
    </w:p>
    <w:p>
      <w:r>
        <w:pict>
          <v:rect id="_x0000_i1026" style="width:0;height:1.5pt" o:hralign="center" o:hrstd="t" o:hr="t" o:hrnoshade="t" fillcolor="#a0a0a0" stroked="f"/>
        </w:pict>
      </w:r>
    </w:p>
    <w:p>
      <w:pPr>
        <w:widowControl w:val="on"/>
        <w:pBdr/>
        <w:spacing w:before="140" w:after="240" w:line="288" w:lineRule="auto"/>
        <w:ind w:left="0" w:right="0"/>
        <w:jc w:val="right"/>
      </w:pPr>
      <w:r>
        <w:rPr>
          <w:rFonts w:ascii="Arial" w:hAnsi="Arial" w:eastAsia="Arial" w:cs="Arial"/>
          <w:color w:val="000000"/>
          <w:sz w:val="20"/>
          <w:szCs w:val="20"/>
        </w:rPr>
        <w:t xml:space="preserve">Gebühreneinzug:</w:t>
      </w:r>
      <w:r>
        <w:rPr>
          <w:rFonts w:ascii="Arial" w:hAnsi="Arial" w:eastAsia="Arial" w:cs="Arial"/>
          <w:color w:val="000000"/>
          <w:sz w:val="20"/>
          <w:szCs w:val="20"/>
        </w:rPr>
        <w:br/>
        <w:t xml:space="preserve">Über Konto: …</w:t>
      </w:r>
      <w:r>
        <w:rPr>
          <w:rFonts w:ascii="Arial" w:hAnsi="Arial" w:eastAsia="Arial" w:cs="Arial"/>
          <w:color w:val="000000"/>
          <w:sz w:val="20"/>
          <w:szCs w:val="20"/>
        </w:rPr>
        <w:br/>
        <w:t xml:space="preserve">Bei der … Bank</w:t>
      </w:r>
    </w:p>
    <w:p>
      <w:pPr>
        <w:widowControl w:val="on"/>
        <w:pBdr/>
        <w:spacing w:before="140" w:after="240" w:line="288" w:lineRule="auto"/>
        <w:ind w:left="0" w:right="0"/>
        <w:jc w:val="center"/>
      </w:pPr>
      <w:r>
        <w:rPr>
          <w:rFonts w:ascii="Arial" w:hAnsi="Arial" w:eastAsia="Arial" w:cs="Arial"/>
          <w:color w:val="000000"/>
          <w:sz w:val="20"/>
          <w:szCs w:val="20"/>
        </w:rPr>
        <w:t xml:space="preserve">Rechtsanwalt Dr. Wolfgang
Schöberl</w:t>
      </w:r>
      <w:r>
        <w:rPr>
          <w:rFonts w:ascii="Arial" w:hAnsi="Arial" w:eastAsia="Arial" w:cs="Arial"/>
          <w:color w:val="000000"/>
          <w:sz w:val="20"/>
          <w:szCs w:val="20"/>
        </w:rPr>
        <w:br/>
        <w:t xml:space="preserve">Universitätsstraße 11</w:t>
      </w:r>
      <w:r>
        <w:rPr>
          <w:rFonts w:ascii="Arial" w:hAnsi="Arial" w:eastAsia="Arial" w:cs="Arial"/>
          <w:color w:val="000000"/>
          <w:sz w:val="20"/>
          <w:szCs w:val="20"/>
        </w:rPr>
        <w:br/>
        <w:t xml:space="preserve">1010 Wien</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Landesgericht Eisenstadt</w:t>
      </w:r>
      <w:r>
        <w:rPr>
          <w:rFonts w:ascii="Arial" w:hAnsi="Arial" w:eastAsia="Arial" w:cs="Arial"/>
          <w:color w:val="000000"/>
          <w:sz w:val="20"/>
          <w:szCs w:val="20"/>
        </w:rPr>
        <w:br/>
        <w:t xml:space="preserve">Wiener Straße 9</w:t>
      </w:r>
      <w:r>
        <w:rPr>
          <w:rFonts w:ascii="Arial" w:hAnsi="Arial" w:eastAsia="Arial" w:cs="Arial"/>
          <w:color w:val="000000"/>
          <w:sz w:val="20"/>
          <w:szCs w:val="20"/>
        </w:rPr>
        <w:br/>
        <w:t xml:space="preserve">7000 Eisenstadt</w:t>
      </w:r>
    </w:p>
    <w:p>
      <w:pPr>
        <w:widowControl w:val="on"/>
        <w:pBdr/>
        <w:spacing w:before="140" w:after="240" w:line="288" w:lineRule="auto"/>
        <w:ind w:left="0" w:right="0"/>
        <w:jc w:val="right"/>
      </w:pPr>
      <w:r>
        <w:rPr>
          <w:rFonts w:ascii="Arial" w:hAnsi="Arial" w:eastAsia="Arial" w:cs="Arial"/>
          <w:color w:val="000000"/>
          <w:sz w:val="20"/>
          <w:szCs w:val="20"/>
        </w:rPr>
        <w:t xml:space="preserve">Wien, am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Klagende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Georg Gläubiger</w:t>
            </w:r>
            <w:r>
              <w:rPr>
                <w:rFonts w:ascii="Arial" w:hAnsi="Arial" w:eastAsia="Arial" w:cs="Arial"/>
                <w:color w:val="000000"/>
                <w:position w:val="0"/>
                <w:sz w:val="20"/>
                <w:szCs w:val="20"/>
                <w:shd w:val="clear" w:color="auto" w:fill="FFFFFF"/>
              </w:rPr>
              <w:br/>
              <w:t xml:space="preserve">Alte Straße 15</w:t>
            </w:r>
            <w:r>
              <w:rPr>
                <w:rFonts w:ascii="Arial" w:hAnsi="Arial" w:eastAsia="Arial" w:cs="Arial"/>
                <w:color w:val="000000"/>
                <w:position w:val="0"/>
                <w:sz w:val="20"/>
                <w:szCs w:val="20"/>
                <w:shd w:val="clear" w:color="auto" w:fill="FFFFFF"/>
              </w:rPr>
              <w:br/>
              <w:t xml:space="preserve">1230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Wolfgang Schöberl</w:t>
            </w:r>
            <w:r>
              <w:rPr>
                <w:rFonts w:ascii="Arial" w:hAnsi="Arial" w:eastAsia="Arial" w:cs="Arial"/>
                <w:color w:val="000000"/>
                <w:position w:val="0"/>
                <w:sz w:val="20"/>
                <w:szCs w:val="20"/>
                <w:shd w:val="clear" w:color="auto" w:fill="FFFFFF"/>
              </w:rPr>
              <w:br/>
              <w:t xml:space="preserve">Universitätsstraße 11</w:t>
            </w:r>
            <w:r>
              <w:rPr>
                <w:rFonts w:ascii="Arial" w:hAnsi="Arial" w:eastAsia="Arial" w:cs="Arial"/>
                <w:color w:val="000000"/>
                <w:position w:val="0"/>
                <w:sz w:val="20"/>
                <w:szCs w:val="20"/>
                <w:shd w:val="clear" w:color="auto" w:fill="FFFFFF"/>
              </w:rPr>
              <w:br/>
              <w:t xml:space="preserve">1010 Wien</w:t>
            </w:r>
            <w:r>
              <w:rPr>
                <w:rFonts w:ascii="Arial" w:hAnsi="Arial" w:eastAsia="Arial" w:cs="Arial"/>
                <w:color w:val="000000"/>
                <w:position w:val="0"/>
                <w:sz w:val="20"/>
                <w:szCs w:val="20"/>
                <w:shd w:val="clear" w:color="auto" w:fill="FFFFFF"/>
              </w:rPr>
              <w:br/>
              <w:t xml:space="preserve">AVR Code: R…</w:t>
            </w:r>
            <w:r>
              <w:rPr>
                <w:rFonts w:ascii="Arial" w:hAnsi="Arial" w:eastAsia="Arial" w:cs="Arial"/>
                <w:color w:val="000000"/>
                <w:position w:val="0"/>
                <w:sz w:val="20"/>
                <w:szCs w:val="20"/>
                <w:shd w:val="clear" w:color="auto" w:fill="FFFFFF"/>
              </w:rPr>
              <w:br/>
              <w:t xml:space="preserve">unter Berufung auf die erteilte Vollmacht gem § 30
Abs 2 ZPO</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Richard Realschuldner</w:t>
            </w:r>
            <w:r>
              <w:rPr>
                <w:rFonts w:ascii="Arial" w:hAnsi="Arial" w:eastAsia="Arial" w:cs="Arial"/>
                <w:color w:val="000000"/>
                <w:position w:val="0"/>
                <w:sz w:val="20"/>
                <w:szCs w:val="20"/>
                <w:shd w:val="clear" w:color="auto" w:fill="FFFFFF"/>
              </w:rPr>
              <w:br/>
              <w:t xml:space="preserve">Alte Straße 10</w:t>
            </w:r>
            <w:r>
              <w:rPr>
                <w:rFonts w:ascii="Arial" w:hAnsi="Arial" w:eastAsia="Arial" w:cs="Arial"/>
                <w:color w:val="000000"/>
                <w:position w:val="0"/>
                <w:sz w:val="20"/>
                <w:szCs w:val="20"/>
                <w:shd w:val="clear" w:color="auto" w:fill="FFFFFF"/>
              </w:rPr>
              <w:br/>
              <w:t xml:space="preserve">1230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Hypothekarklage (Streitwert: EUR 50.000,– gem JN, GGG
und RATG)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Klage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Antrag auf Klagsanmerkung</w:t>
      </w:r>
    </w:p>
    <w:p>
      <w:pPr>
        <w:widowControl w:val="on"/>
        <w:pBdr/>
        <w:spacing w:before="140" w:after="240" w:line="288" w:lineRule="auto"/>
        <w:ind w:left="0" w:right="0"/>
        <w:jc w:val="right"/>
      </w:pPr>
      <w:r>
        <w:rPr>
          <w:rFonts w:ascii="Arial" w:hAnsi="Arial" w:eastAsia="Arial" w:cs="Arial"/>
          <w:color w:val="000000"/>
          <w:sz w:val="20"/>
          <w:szCs w:val="20"/>
        </w:rPr>
        <w:t xml:space="preserve">2-fach</w:t>
      </w:r>
      <w:r>
        <w:rPr>
          <w:rFonts w:ascii="Arial" w:hAnsi="Arial" w:eastAsia="Arial" w:cs="Arial"/>
          <w:color w:val="000000"/>
          <w:sz w:val="20"/>
          <w:szCs w:val="20"/>
        </w:rPr>
        <w:br/>
        <w:t xml:space="preserve">3 Beilagen</w:t>
      </w:r>
    </w:p>
    <w:p>
      <w:pPr>
        <w:pageBreakBefore w:val="on"/>
      </w:pPr>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 Klage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Zuständigkeit</w:t>
      </w:r>
    </w:p>
    <w:p>
      <w:pPr>
        <w:widowControl w:val="on"/>
        <w:pBdr/>
        <w:spacing w:before="140" w:after="240" w:line="288" w:lineRule="auto"/>
        <w:ind w:left="0" w:right="0"/>
        <w:jc w:val="left"/>
      </w:pPr>
      <w:r>
        <w:rPr>
          <w:rFonts w:ascii="Arial" w:hAnsi="Arial" w:eastAsia="Arial" w:cs="Arial"/>
          <w:color w:val="000000"/>
          <w:sz w:val="20"/>
          <w:szCs w:val="20"/>
        </w:rPr>
        <w:t xml:space="preserve">Wie in den nachfolgenden Ausführungen detailliert vorgebracht
und unter Beweis gestellt wird, hat der Beklagte dem Kläger ob der
ihm grundbücherlich zugeschriebenen Liegenschaft EZ 1234
Katastralgemeinde 56789 Neusiedl am See ein Pfandrecht für den
Höchstbetrag von EUR 50.000,– eingeräumt, und wird der
Beklagte nun daraus in Anspruch genommen. Diese Liegenschaft ist im
Sprengel des angerufenen Gerichtes gelegen. Dieses ist daher
gem § 81 JN örtlich zuständig, da durch die Klage ein
dingliches Recht an dieser Liegenschaft, nämlich das Pfandrecht,
geltend gemacht wird. Die sachliche Zuständigkeit folgt aus
§§ 49 Abs 1 iVm 50 JN (Wertzuständigkeit).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Sachverhalt</w:t>
      </w:r>
    </w:p>
    <w:p>
      <w:pPr>
        <w:widowControl w:val="on"/>
        <w:pBdr/>
        <w:spacing w:before="140" w:after="240" w:line="288" w:lineRule="auto"/>
        <w:ind w:left="0" w:right="0"/>
        <w:jc w:val="left"/>
      </w:pPr>
      <w:r>
        <w:rPr>
          <w:rFonts w:ascii="Arial" w:hAnsi="Arial" w:eastAsia="Arial" w:cs="Arial"/>
          <w:color w:val="000000"/>
          <w:sz w:val="20"/>
          <w:szCs w:val="20"/>
        </w:rPr>
        <w:t xml:space="preserve">Der Kläger hat Herrn Sigurd Schuldner ein Darlehen über
EUR 150.000,– gewährt, welches bis 31.12.2014 zur Rückzahlung
fällig war. Zur Besicherung dieser Darlehensforderung wurde dem
Kläger unter anderem vom Beklagten ein Pfandrecht ob dessen
Liegenschaft EZ 1234 Katastralgemeinde 56789 Neusiedl am See für
den Höchstbetrag von EUR 50.000,– eingeräumt, welches ob der
vorgenannten Liegenschaft im Lastenblatt zu C-LNR 1 einverleibt
ist.</w:t>
      </w:r>
    </w:p>
    <w:p>
      <w:pPr>
        <w:widowControl w:val="on"/>
        <w:pBdr/>
        <w:spacing w:before="140" w:after="240" w:line="288" w:lineRule="auto"/>
        <w:ind w:left="0" w:right="0"/>
        <w:jc w:val="left"/>
      </w:pPr>
      <w:r>
        <w:rPr>
          <w:rFonts w:ascii="Arial" w:hAnsi="Arial" w:eastAsia="Arial" w:cs="Arial"/>
          <w:color w:val="000000"/>
          <w:sz w:val="20"/>
          <w:szCs w:val="20"/>
        </w:rPr>
        <w:t xml:space="preserve">Dieses Darlehen haftet vollkommen unberichtigt aus.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 des Klägers</w:t>
            </w:r>
            <w:r>
              <w:rPr>
                <w:rFonts w:ascii="Arial" w:hAnsi="Arial" w:eastAsia="Arial" w:cs="Arial"/>
                <w:color w:val="000000"/>
                <w:position w:val="0"/>
                <w:sz w:val="20"/>
                <w:szCs w:val="20"/>
                <w:shd w:val="clear" w:color="auto" w:fill="FFFFFF"/>
              </w:rPr>
              <w:br/>
              <w:t xml:space="preserve">Darlehensvertrag (Beilage ./A)</w:t>
            </w:r>
            <w:r>
              <w:rPr>
                <w:rFonts w:ascii="Arial" w:hAnsi="Arial" w:eastAsia="Arial" w:cs="Arial"/>
                <w:color w:val="000000"/>
                <w:position w:val="0"/>
                <w:sz w:val="20"/>
                <w:szCs w:val="20"/>
                <w:shd w:val="clear" w:color="auto" w:fill="FFFFFF"/>
              </w:rPr>
              <w:br/>
              <w:t xml:space="preserve">Grundbuchsauszug EZ 1234 KG 56789 Neusiedl am See (Beilage
./B)</w:t>
            </w:r>
            <w:r>
              <w:rPr>
                <w:rFonts w:ascii="Arial" w:hAnsi="Arial" w:eastAsia="Arial" w:cs="Arial"/>
                <w:color w:val="000000"/>
                <w:position w:val="0"/>
                <w:sz w:val="20"/>
                <w:szCs w:val="20"/>
                <w:shd w:val="clear" w:color="auto" w:fill="FFFFFF"/>
              </w:rPr>
              <w:br/>
              <w:t xml:space="preserve">weitere Beweise vorbehalten</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Rechtliche Würdigung</w:t>
      </w:r>
    </w:p>
    <w:p>
      <w:pPr>
        <w:widowControl w:val="on"/>
        <w:pBdr/>
        <w:spacing w:before="140" w:after="240" w:line="288" w:lineRule="auto"/>
        <w:ind w:left="0" w:right="0"/>
        <w:jc w:val="left"/>
      </w:pPr>
      <w:r>
        <w:rPr>
          <w:rFonts w:ascii="Arial" w:hAnsi="Arial" w:eastAsia="Arial" w:cs="Arial"/>
          <w:color w:val="000000"/>
          <w:sz w:val="20"/>
          <w:szCs w:val="20"/>
        </w:rPr>
        <w:t xml:space="preserve">Der Beklagte hat dem Kläger ein Pfandrecht für den Höchstbetrag
von EUR 50.000,– eingeräumt, welches zur Besicherung der
Darlehensforderung des Klägers gegenüber Herrn Sigurd Schuldner
dient. Diese Forderung haftet trotz Fälligkeit unberichtigt aus,
sodass der Beklagte zur Zahlung bei sonstiger Exekution in den
Pfandgegenstand, worauf das Klagebegehren gerichtet ist,
verpflichtet ist.</w:t>
      </w:r>
    </w:p>
    <w:p>
      <w:pPr>
        <w:widowControl w:val="on"/>
        <w:pBdr/>
        <w:spacing w:before="140" w:after="240" w:line="288" w:lineRule="auto"/>
        <w:ind w:left="0" w:right="0"/>
        <w:jc w:val="left"/>
      </w:pPr>
      <w:r>
        <w:rPr>
          <w:rFonts w:ascii="Arial" w:hAnsi="Arial" w:eastAsia="Arial" w:cs="Arial"/>
          <w:color w:val="000000"/>
          <w:sz w:val="20"/>
          <w:szCs w:val="20"/>
        </w:rPr>
        <w:t xml:space="preserve">Die Bewertung des Streitgegenstandes erfolgt gem § 57
JN, wonach der Wert des Pfandgegenstandes, wenn dieser einen
geringeren Wert hat als die zugrunde liegende Forderung, wie es
hier der Fall ist, heranzuziehen ist.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Klagebegehren</w:t>
      </w:r>
    </w:p>
    <w:p>
      <w:pPr>
        <w:widowControl w:val="on"/>
        <w:pBdr/>
        <w:spacing w:before="140" w:after="240" w:line="288" w:lineRule="auto"/>
        <w:ind w:left="0" w:right="0"/>
        <w:jc w:val="left"/>
      </w:pPr>
      <w:r>
        <w:rPr>
          <w:rFonts w:ascii="Arial" w:hAnsi="Arial" w:eastAsia="Arial" w:cs="Arial"/>
          <w:color w:val="000000"/>
          <w:sz w:val="20"/>
          <w:szCs w:val="20"/>
        </w:rPr>
        <w:t xml:space="preserve">Der Kläger beantragt zu erlassen das nachstehende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Urteil</w:t>
      </w:r>
    </w:p>
    <w:p>
      <w:pPr>
        <w:widowControl w:val="on"/>
        <w:pBdr/>
        <w:spacing w:before="140" w:after="240" w:line="288" w:lineRule="auto"/>
        <w:ind w:left="0" w:right="0"/>
        <w:jc w:val="left"/>
      </w:pPr>
      <w:r>
        <w:rPr>
          <w:rFonts w:ascii="Arial" w:hAnsi="Arial" w:eastAsia="Arial" w:cs="Arial"/>
          <w:color w:val="000000"/>
          <w:sz w:val="20"/>
          <w:szCs w:val="20"/>
        </w:rPr>
        <w:t xml:space="preserve">Der Beklagte ist schuldig, dem Kläger den Betrag von
EUR 50.000,– binnen 14 Tagen bei sonstiger Exekution in die
Liegenschaft EZ 1234 KG 56789 Neusiedl am See zu bezahlen, sowie
die Kosten dieses Rechtsstreits binnen 14 Tagen bei sonstiger
Exekution unter Anwendung des § 19a RAO zu ersetzen.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Antrag auf Klagsanmerkung</w:t>
      </w:r>
    </w:p>
    <w:p>
      <w:pPr>
        <w:widowControl w:val="on"/>
        <w:pBdr/>
        <w:spacing w:before="140" w:after="240" w:line="288" w:lineRule="auto"/>
        <w:ind w:left="0" w:right="0"/>
        <w:jc w:val="left"/>
      </w:pPr>
      <w:r>
        <w:rPr>
          <w:rFonts w:ascii="Arial" w:hAnsi="Arial" w:eastAsia="Arial" w:cs="Arial"/>
          <w:color w:val="000000"/>
          <w:sz w:val="20"/>
          <w:szCs w:val="20"/>
        </w:rPr>
        <w:t xml:space="preserve">In Verbindung mit der Hypothekarklage erstattet der Kläger den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Aufgrund der zu GZ … des Landesgerichtes Eisenstadt anhängigen
Hypothekarklage des Klägers wider den Beklagten wegen
EUR 50.000,– sA wird gem § 60 GBG ob der dem
Beklagten grundbücherlich zugeschriebenen Liegenschaft EZ 1234 KG
56789 Neusiedl am See im Lastenblatt bei dem zu C-LNR 1
einverleibten Pfandrecht die Anmerkung der Hypothekarklage
bewilligt.</w:t>
      </w:r>
    </w:p>
    <w:p>
      <w:pPr>
        <w:widowControl w:val="on"/>
        <w:pBdr/>
        <w:spacing w:before="140" w:after="240" w:line="288" w:lineRule="auto"/>
        <w:ind w:left="0" w:right="0"/>
        <w:jc w:val="left"/>
      </w:pPr>
      <w:r>
        <w:rPr>
          <w:rFonts w:ascii="Arial" w:hAnsi="Arial" w:eastAsia="Arial" w:cs="Arial"/>
          <w:color w:val="000000"/>
          <w:sz w:val="20"/>
          <w:szCs w:val="20"/>
        </w:rPr>
        <w:t xml:space="preserve">Als Grundbuchsgericht hat das Bezirksgericht Neusiedl am See
einzuschreiten und die Beteiligten zu verständigen.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0328778" w:name="note1"/>
            <w:bookmarkEnd w:id="60328778"/>
            <w:bookmarkStart w:id="4742257334109" w:name="note1"/>
            <w:r>
              <w:rPr>
                <w:rFonts w:ascii="Arial" w:hAnsi="Arial" w:eastAsia="Arial" w:cs="Arial"/>
                <w:b/>
                <w:bCs/>
                <w:color w:val="000000"/>
                <w:position w:val="0"/>
                <w:sz w:val="20"/>
                <w:szCs w:val="20"/>
              </w:rPr>
              <w:t xml:space="preserve">[1]</w:t>
            </w:r>
            <w:bookmarkEnd w:id="474225733410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Mit der Hypothekarklage wird der Eigentümer einer Liegenschaft,
auf der eine Hypothek zugunsten des Klägers einverleibt ist, als
Realschuldner in Anspruch genommen. Daher muss das Vorbringen
einerseits den Bestand, die Höhe und die Fälligkeit der
pfandrechtlich sichergestellten Forderung und andererseits die
genaue Anführung des Pfandgegenstandes, also die Liegenschaft
mitsamt den grundbücherlichen Daten, umfassen. Zweckmäßig ist es,
einen Grundbuchsauszug anzuschließen.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8496365" w:name="note2"/>
            <w:bookmarkEnd w:id="88496365"/>
            <w:bookmarkStart w:id="5051419543501" w:name="note2"/>
            <w:r>
              <w:rPr>
                <w:rFonts w:ascii="Arial" w:hAnsi="Arial" w:eastAsia="Arial" w:cs="Arial"/>
                <w:b/>
                <w:bCs/>
                <w:color w:val="000000"/>
                <w:position w:val="0"/>
                <w:sz w:val="20"/>
                <w:szCs w:val="20"/>
              </w:rPr>
              <w:t xml:space="preserve">[2]</w:t>
            </w:r>
            <w:bookmarkEnd w:id="505141954350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Pfandrechtsklagen besteht die ausschließliche örtliche
Zuständigkeit jenes Gerichtes, in dessen Sprengel die Liegenschaft,
an der das Pfandrecht bestellt wurde, befindlich ist (§ 81
JN). Es handelt sich bei der Pfandrechtsklage nämlich um die
Geltendmachung des dinglichen Rechtes auf ein unbewegliches Gut,
wie es § 81 Abs 1 JN vorsieht. Für die sachliche
Zuständigkeit (BG oder LG) ist hingegen der Streitwert maßgeblich.
Ist der Realschuldner gleichzeitig auch Personalschuldner, und wird
er auch in dieser Funktion in Anspruch genommen, kann die Klage auf
Zahlung der pfandrechtlich gesicherten Forderung, verbunden mit der
Pfandrechtsklage, beim Gerichtsstand der gelegenen Sache (§ 91
JN) eingebracht werden.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9500633" w:name="note3"/>
            <w:bookmarkEnd w:id="79500633"/>
            <w:bookmarkStart w:id="3146183959392" w:name="note3"/>
            <w:r>
              <w:rPr>
                <w:rFonts w:ascii="Arial" w:hAnsi="Arial" w:eastAsia="Arial" w:cs="Arial"/>
                <w:b/>
                <w:bCs/>
                <w:color w:val="000000"/>
                <w:position w:val="0"/>
                <w:sz w:val="20"/>
                <w:szCs w:val="20"/>
              </w:rPr>
              <w:t xml:space="preserve">[3]</w:t>
            </w:r>
            <w:bookmarkEnd w:id="314618395939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die Streitwertbemessung gilt § 57 JN: Hat die
Streitigkeit ein Pfandrecht zum Gegenstand, ist der Betrag der
Forderung, wenn der Pfandgegenstand aber einen niedrigeren Wert
hat, dessen Wert für die Bewertung des Streitgegenstandes
maßgeblich. Im Musterbeispiel wurde ein Pfandrecht für den
Höchstbetrag von EUR 50.000,– eingeräumt, während die
pfandrechtlich gesicherte Forderung EUR 150.000,– beträgt,
sodass der niedrigere Wert des Pfandrechtes heranzuziehen ist.
Diese Streitwertbemessung gilt zwingend auch für RATG und GGG.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0345309" w:name="note4"/>
            <w:bookmarkEnd w:id="60345309"/>
            <w:bookmarkStart w:id="8360546683672" w:name="note4"/>
            <w:r>
              <w:rPr>
                <w:rFonts w:ascii="Arial" w:hAnsi="Arial" w:eastAsia="Arial" w:cs="Arial"/>
                <w:b/>
                <w:bCs/>
                <w:color w:val="000000"/>
                <w:position w:val="0"/>
                <w:sz w:val="20"/>
                <w:szCs w:val="20"/>
              </w:rPr>
              <w:t xml:space="preserve">[4]</w:t>
            </w:r>
            <w:bookmarkEnd w:id="836054668367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Mit der Klage wird die Sachhaftung des Beklagten als
Pfandschuldner geltend gemacht. Daher kann Exekution lediglich in
die pfandgegenständliche Liegenschaft geführt werden, was im
Klagebegehren entsprechend zum Ausdruck kommen muss. Für die aus
der Pfandrechtsklage resultierenden Prozess- und Exekutionskosten
haftet der Pfandschuldner jedoch ohne Einschränkung auf die
Sachhaftung (so </w:t>
            </w:r>
            <w:r>
              <w:rPr>
                <w:rFonts w:ascii="Arial" w:hAnsi="Arial" w:eastAsia="Arial" w:cs="Arial"/>
                <w:i/>
                <w:iCs/>
                <w:color w:val="000000"/>
                <w:position w:val="0"/>
                <w:sz w:val="20"/>
                <w:szCs w:val="20"/>
              </w:rPr>
              <w:t xml:space="preserve">Hinteregger</w:t>
            </w:r>
            <w:r>
              <w:rPr>
                <w:rFonts w:ascii="Arial" w:hAnsi="Arial" w:eastAsia="Arial" w:cs="Arial"/>
                <w:color w:val="000000"/>
                <w:position w:val="0"/>
                <w:sz w:val="20"/>
                <w:szCs w:val="20"/>
              </w:rPr>
              <w:t xml:space="preserve"> in </w:t>
            </w:r>
            <w:r>
              <w:rPr>
                <w:rFonts w:ascii="Arial" w:hAnsi="Arial" w:eastAsia="Arial" w:cs="Arial"/>
                <w:i/>
                <w:iCs/>
                <w:color w:val="000000"/>
                <w:position w:val="0"/>
                <w:sz w:val="20"/>
                <w:szCs w:val="20"/>
              </w:rPr>
              <w:t xml:space="preserve">Schwimann</w:t>
            </w:r>
            <w:r>
              <w:rPr>
                <w:rFonts w:ascii="Arial" w:hAnsi="Arial" w:eastAsia="Arial" w:cs="Arial"/>
                <w:color w:val="000000"/>
                <w:position w:val="0"/>
                <w:sz w:val="20"/>
                <w:szCs w:val="20"/>
              </w:rPr>
              <w:t xml:space="preserve">, ABGB³
II § 285 Rz 9).</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1136855" w:name="note5"/>
            <w:bookmarkEnd w:id="41136855"/>
            <w:bookmarkStart w:id="7702661156860" w:name="note5"/>
            <w:r>
              <w:rPr>
                <w:rFonts w:ascii="Arial" w:hAnsi="Arial" w:eastAsia="Arial" w:cs="Arial"/>
                <w:b/>
                <w:bCs/>
                <w:color w:val="000000"/>
                <w:position w:val="0"/>
                <w:sz w:val="20"/>
                <w:szCs w:val="20"/>
              </w:rPr>
              <w:t xml:space="preserve">[5]</w:t>
            </w:r>
            <w:bookmarkEnd w:id="770266115686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Ist der Besteller des Pfandrechtes auch Schuldner der Forderung,
so kann die Klage auf Zahlung der Forderung mit der
Pfandrechtsklage verbunden werden. Zu beachten ist, dass die
Sachhaftung mit dem Betrag des Pfandrechtes beschränkt ist, was im
Klagebegehren zum Ausdruck kommen muss. Die ausdrückliche Anführung
des Pfandgegenstandes ist deshalb notwendig, damit auch in diesem
Fall die Klagsanmerkung erfolgen kann (siehe hiezu noch Anm 7).
Hypothekarklage und Schuldklage können aber auch unabhängig
voneinander erhoben werden, und begründen wechselseitig keine
Streitanhängigkeit; die Pfandrechtsklage ist gegenüber der
Schuldklage ein aliud (vgl </w:t>
            </w:r>
            <w:r>
              <w:rPr>
                <w:rFonts w:ascii="Arial" w:hAnsi="Arial" w:eastAsia="Arial" w:cs="Arial"/>
                <w:i/>
                <w:iCs/>
                <w:color w:val="000000"/>
                <w:position w:val="0"/>
                <w:sz w:val="20"/>
                <w:szCs w:val="20"/>
              </w:rPr>
              <w:t xml:space="preserve">Hinteregger</w:t>
            </w:r>
            <w:r>
              <w:rPr>
                <w:rFonts w:ascii="Arial" w:hAnsi="Arial" w:eastAsia="Arial" w:cs="Arial"/>
                <w:color w:val="000000"/>
                <w:position w:val="0"/>
                <w:sz w:val="20"/>
                <w:szCs w:val="20"/>
              </w:rPr>
              <w:t xml:space="preserve"> in
</w:t>
            </w:r>
            <w:r>
              <w:rPr>
                <w:rFonts w:ascii="Arial" w:hAnsi="Arial" w:eastAsia="Arial" w:cs="Arial"/>
                <w:i/>
                <w:iCs/>
                <w:color w:val="000000"/>
                <w:position w:val="0"/>
                <w:sz w:val="20"/>
                <w:szCs w:val="20"/>
              </w:rPr>
              <w:t xml:space="preserve">Schwimann</w:t>
            </w:r>
            <w:r>
              <w:rPr>
                <w:rFonts w:ascii="Arial" w:hAnsi="Arial" w:eastAsia="Arial" w:cs="Arial"/>
                <w:color w:val="000000"/>
                <w:position w:val="0"/>
                <w:sz w:val="20"/>
                <w:szCs w:val="20"/>
              </w:rPr>
              <w:t xml:space="preserve">, ABGB³ II § 285 Rz 3 mwN).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8246635" w:name="note6"/>
            <w:bookmarkEnd w:id="48246635"/>
            <w:bookmarkStart w:id="9084648138926" w:name="note6"/>
            <w:r>
              <w:rPr>
                <w:rFonts w:ascii="Arial" w:hAnsi="Arial" w:eastAsia="Arial" w:cs="Arial"/>
                <w:b/>
                <w:bCs/>
                <w:color w:val="000000"/>
                <w:position w:val="0"/>
                <w:sz w:val="20"/>
                <w:szCs w:val="20"/>
              </w:rPr>
              <w:t xml:space="preserve">[6]</w:t>
            </w:r>
            <w:bookmarkEnd w:id="908464813892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Nach der Entscheidung 10 Ob 26/03 a ist die Einbringung der
Hypothekarklage als Mahnklage lediglich dann zulässig, wenn neben
der Sachhaftung auch die persönliche Haftung des Beklagten in
Anspruch genommen wird (kritisch </w:t>
            </w:r>
            <w:r>
              <w:rPr>
                <w:rFonts w:ascii="Arial" w:hAnsi="Arial" w:eastAsia="Arial" w:cs="Arial"/>
                <w:i/>
                <w:iCs/>
                <w:color w:val="000000"/>
                <w:position w:val="0"/>
                <w:sz w:val="20"/>
                <w:szCs w:val="20"/>
              </w:rPr>
              <w:t xml:space="preserve">Kodek</w:t>
            </w:r>
            <w:r>
              <w:rPr>
                <w:rFonts w:ascii="Arial" w:hAnsi="Arial" w:eastAsia="Arial" w:cs="Arial"/>
                <w:color w:val="000000"/>
                <w:position w:val="0"/>
                <w:sz w:val="20"/>
                <w:szCs w:val="20"/>
              </w:rPr>
              <w:t xml:space="preserve"> in
</w:t>
            </w:r>
            <w:r>
              <w:rPr>
                <w:rFonts w:ascii="Arial" w:hAnsi="Arial" w:eastAsia="Arial" w:cs="Arial"/>
                <w:i/>
                <w:iCs/>
                <w:color w:val="000000"/>
                <w:position w:val="0"/>
                <w:sz w:val="20"/>
                <w:szCs w:val="20"/>
              </w:rPr>
              <w:t xml:space="preserve">Fasching/Konecny</w:t>
            </w:r>
            <w:r>
              <w:rPr>
                <w:rFonts w:ascii="Arial" w:hAnsi="Arial" w:eastAsia="Arial" w:cs="Arial"/>
                <w:color w:val="000000"/>
                <w:position w:val="0"/>
                <w:sz w:val="20"/>
                <w:szCs w:val="20"/>
              </w:rPr>
              <w:t xml:space="preserve">² III § 244 ZPO Rz 43, der dafür
plädiert, dass auch eine reine Hypothekarklage als Mahnklage
eingebracht werden kann). Zu beachten ist jedenfalls, dass eine
Hypothekarklage, die mit der Schuldklage verbunden wird, demgemäß
bei einem Streitwert bis EUR 75.000,– zwingend im
Mahnverfahren einzubringen ist. Auch im Mahnverfahren kann die
Klagsanmerkung erfolgen (so zutreffend </w:t>
            </w:r>
            <w:r>
              <w:rPr>
                <w:rFonts w:ascii="Arial" w:hAnsi="Arial" w:eastAsia="Arial" w:cs="Arial"/>
                <w:i/>
                <w:iCs/>
                <w:color w:val="000000"/>
                <w:position w:val="0"/>
                <w:sz w:val="20"/>
                <w:szCs w:val="20"/>
              </w:rPr>
              <w:t xml:space="preserve">Kodek</w:t>
            </w:r>
            <w:r>
              <w:rPr>
                <w:rFonts w:ascii="Arial" w:hAnsi="Arial" w:eastAsia="Arial" w:cs="Arial"/>
                <w:color w:val="000000"/>
                <w:position w:val="0"/>
                <w:sz w:val="20"/>
                <w:szCs w:val="20"/>
              </w:rPr>
              <w:t xml:space="preserve"> aaO,
Rz 44, was auch der herrschenden Praxis bei der Anmerkung des
Vorzugspfandrechts nach § 27 Abs 2 WEG 2002
entspricht).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7108038" w:name="note7"/>
            <w:bookmarkEnd w:id="47108038"/>
            <w:bookmarkStart w:id="5336060159488" w:name="note7"/>
            <w:r>
              <w:rPr>
                <w:rFonts w:ascii="Arial" w:hAnsi="Arial" w:eastAsia="Arial" w:cs="Arial"/>
                <w:b/>
                <w:bCs/>
                <w:color w:val="000000"/>
                <w:position w:val="0"/>
                <w:sz w:val="20"/>
                <w:szCs w:val="20"/>
              </w:rPr>
              <w:t xml:space="preserve">[7]</w:t>
            </w:r>
            <w:bookmarkEnd w:id="533606015948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Anmerkung der Hypothekarklage findet ihre gesetzliche
Grundlage in § 60 GBG. Sie ist vom Prozessgericht zu
bewilligen und hat die rangwahrende Wirkung auch gegen jeden
späteren Eigentümer der Liegenschaft zur Folge.</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344411">
    <w:multiLevelType w:val="hybridMultilevel"/>
    <w:lvl w:ilvl="0" w:tplc="68423611">
      <w:start w:val="1"/>
      <w:numFmt w:val="decimal"/>
      <w:lvlText w:val="%1."/>
      <w:lvlJc w:val="left"/>
      <w:pPr>
        <w:ind w:left="720" w:hanging="360"/>
      </w:pPr>
    </w:lvl>
    <w:lvl w:ilvl="1" w:tplc="68423611" w:tentative="1">
      <w:start w:val="1"/>
      <w:numFmt w:val="lowerLetter"/>
      <w:lvlText w:val="%2."/>
      <w:lvlJc w:val="left"/>
      <w:pPr>
        <w:ind w:left="1440" w:hanging="360"/>
      </w:pPr>
    </w:lvl>
    <w:lvl w:ilvl="2" w:tplc="68423611" w:tentative="1">
      <w:start w:val="1"/>
      <w:numFmt w:val="lowerRoman"/>
      <w:lvlText w:val="%3."/>
      <w:lvlJc w:val="right"/>
      <w:pPr>
        <w:ind w:left="2160" w:hanging="180"/>
      </w:pPr>
    </w:lvl>
    <w:lvl w:ilvl="3" w:tplc="68423611" w:tentative="1">
      <w:start w:val="1"/>
      <w:numFmt w:val="decimal"/>
      <w:lvlText w:val="%4."/>
      <w:lvlJc w:val="left"/>
      <w:pPr>
        <w:ind w:left="2880" w:hanging="360"/>
      </w:pPr>
    </w:lvl>
    <w:lvl w:ilvl="4" w:tplc="68423611" w:tentative="1">
      <w:start w:val="1"/>
      <w:numFmt w:val="lowerLetter"/>
      <w:lvlText w:val="%5."/>
      <w:lvlJc w:val="left"/>
      <w:pPr>
        <w:ind w:left="3600" w:hanging="360"/>
      </w:pPr>
    </w:lvl>
    <w:lvl w:ilvl="5" w:tplc="68423611" w:tentative="1">
      <w:start w:val="1"/>
      <w:numFmt w:val="lowerRoman"/>
      <w:lvlText w:val="%6."/>
      <w:lvlJc w:val="right"/>
      <w:pPr>
        <w:ind w:left="4320" w:hanging="180"/>
      </w:pPr>
    </w:lvl>
    <w:lvl w:ilvl="6" w:tplc="68423611" w:tentative="1">
      <w:start w:val="1"/>
      <w:numFmt w:val="decimal"/>
      <w:lvlText w:val="%7."/>
      <w:lvlJc w:val="left"/>
      <w:pPr>
        <w:ind w:left="5040" w:hanging="360"/>
      </w:pPr>
    </w:lvl>
    <w:lvl w:ilvl="7" w:tplc="68423611" w:tentative="1">
      <w:start w:val="1"/>
      <w:numFmt w:val="lowerLetter"/>
      <w:lvlText w:val="%8."/>
      <w:lvlJc w:val="left"/>
      <w:pPr>
        <w:ind w:left="5760" w:hanging="360"/>
      </w:pPr>
    </w:lvl>
    <w:lvl w:ilvl="8" w:tplc="68423611" w:tentative="1">
      <w:start w:val="1"/>
      <w:numFmt w:val="lowerRoman"/>
      <w:lvlText w:val="%9."/>
      <w:lvlJc w:val="right"/>
      <w:pPr>
        <w:ind w:left="6480" w:hanging="180"/>
      </w:pPr>
    </w:lvl>
  </w:abstractNum>
  <w:abstractNum w:abstractNumId="74344410">
    <w:multiLevelType w:val="hybridMultilevel"/>
    <w:lvl w:ilvl="0" w:tplc="564895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344410">
    <w:abstractNumId w:val="74344410"/>
  </w:num>
  <w:num w:numId="74344411">
    <w:abstractNumId w:val="743444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54738580" Type="http://schemas.openxmlformats.org/officeDocument/2006/relationships/numbering" Target="numbering.xml"/><Relationship Id="rId44625606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