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0899010" w:name="document"/>
    <w:bookmarkEnd w:id="60899010"/>
    <w:p/>
    <w:p>
      <w:pPr>
        <w:widowControl w:val="on"/>
        <w:pBdr/>
        <w:spacing w:before="0" w:after="280" w:line="240" w:lineRule="auto"/>
        <w:ind w:left="0" w:right="0"/>
        <w:jc w:val="left"/>
      </w:pPr>
      <w:r>
        <w:rPr>
          <w:rFonts w:ascii="Arial" w:hAnsi="Arial" w:eastAsia="Arial" w:cs="Arial"/>
          <w:color w:val="363A40"/>
          <w:sz w:val="24"/>
          <w:szCs w:val="24"/>
        </w:rPr>
        <w:t xml:space="preserve">Dokument-ID: 1112293 | Barbara Pogacar - FORUM
Media (azo)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Kontenschutz nach § 292i EO</w:t>
      </w:r>
    </w:p>
    <w:p>
      <w:pPr>
        <w:widowControl w:val="on"/>
        <w:pBdr/>
        <w:spacing w:before="140" w:after="240" w:line="288" w:lineRule="auto"/>
        <w:ind w:left="0" w:right="0"/>
        <w:jc w:val="left"/>
      </w:pPr>
      <w:r>
        <w:rPr>
          <w:rFonts w:ascii="Arial" w:hAnsi="Arial" w:eastAsia="Arial" w:cs="Arial"/>
          <w:color w:val="000000"/>
          <w:sz w:val="20"/>
          <w:szCs w:val="20"/>
        </w:rPr>
        <w:t xml:space="preserve">Bezirksgericht …</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GZ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Betreibende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Gläubiger GmbH</w:t>
            </w:r>
            <w:r>
              <w:rPr>
                <w:rFonts w:ascii="Arial" w:hAnsi="Arial" w:eastAsia="Arial" w:cs="Arial"/>
                <w:color w:val="000000"/>
                <w:position w:val="0"/>
                <w:sz w:val="20"/>
                <w:szCs w:val="20"/>
                <w:shd w:val="clear" w:color="auto" w:fill="FFFFFF"/>
              </w:rPr>
              <w:b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Verpflichtete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Schuldner</w:t>
            </w:r>
            <w:r>
              <w:rPr>
                <w:rFonts w:ascii="Arial" w:hAnsi="Arial" w:eastAsia="Arial" w:cs="Arial"/>
                <w:color w:val="000000"/>
                <w:position w:val="0"/>
                <w:sz w:val="20"/>
                <w:szCs w:val="20"/>
                <w:shd w:val="clear" w:color="auto" w:fill="FFFFFF"/>
              </w:rPr>
              <w:br/>
              <w:t xml:space="preserve">…</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Kontenschutz
gem § 292i EO</w:t>
      </w:r>
    </w:p>
    <w:p>
      <w:pPr>
        <w:widowControl w:val="on"/>
        <w:pBdr/>
        <w:spacing w:before="140" w:after="240" w:line="288" w:lineRule="auto"/>
        <w:ind w:left="0" w:right="0"/>
        <w:jc w:val="left"/>
      </w:pPr>
      <w:r>
        <w:rPr>
          <w:rFonts w:ascii="Arial" w:hAnsi="Arial" w:eastAsia="Arial" w:cs="Arial"/>
          <w:color w:val="000000"/>
          <w:sz w:val="20"/>
          <w:szCs w:val="20"/>
        </w:rPr>
        <w:t xml:space="preserve">Mit Exekutionsbewilligung vom … hat das Exekutionsgericht unter
anderem das Guthaben auf dem Konto der verpflichteten Partei AT …
gepfändet. Auf dieses Konto werden aber die Gehaltszahlungen des
Dienstgebers der verpflichteten Partei überwiesen. Die Zahlungen
des Dienstgebers erfolgen jeweils am 5. des Monats im Nachhinein.
Der verpflichteten Partei steht ein unpfändbarer Betrag in Höhe von
EUR … zu.</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Überweisungsbestätigung (Beilage ./1)</w:t>
            </w:r>
            <w:r>
              <w:rPr>
                <w:rFonts w:ascii="Arial" w:hAnsi="Arial" w:eastAsia="Arial" w:cs="Arial"/>
                <w:color w:val="000000"/>
                <w:position w:val="0"/>
                <w:sz w:val="20"/>
                <w:szCs w:val="20"/>
                <w:shd w:val="clear" w:color="auto" w:fill="FFFFFF"/>
              </w:rPr>
              <w:br/>
              <w:t xml:space="preserve">Dienstvertrag (Beilage ./2)</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verpflichtete Partei benötigt dringend einen Betrag in Höhe
von EUR …, um den notwendigen Unterhalt zu bestreiten und die
laufenden gesetzlichen Unterhaltspflichten für die beiden
minderjährigen, in getrenntem Haushalt lebenden Kinder zu
erfüllen.</w:t>
      </w:r>
    </w:p>
    <w:p>
      <w:pPr>
        <w:widowControl w:val="on"/>
        <w:pBdr/>
        <w:spacing w:before="140" w:after="240" w:line="288" w:lineRule="auto"/>
        <w:ind w:left="0" w:right="0"/>
        <w:jc w:val="left"/>
      </w:pPr>
      <w:r>
        <w:rPr>
          <w:rFonts w:ascii="Arial" w:hAnsi="Arial" w:eastAsia="Arial" w:cs="Arial"/>
          <w:color w:val="000000"/>
          <w:sz w:val="20"/>
          <w:szCs w:val="20"/>
        </w:rPr>
        <w:t xml:space="preserve">Die verpflichtete Partei stellt daher gem § 292i
Abs 1 und 3 EO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Bezirksgericht … als Exekutionsgericht möge (1) die Pfändung
des Guthabens auf dem Konto der verpflichteten Partei AT … insoweit
aufheben, als das Guthaben dem der Pfändung nicht unterworfenen
Teil der Einkünfte für die Zeit vor der Pfändung bis zum nächsten
Zahlungstermin entspricht, und (2) vorweg die Pfändung des
Guthabens für einen Betrag in Höhe von EUR … aufheben.</w:t>
      </w:r>
    </w:p>
    <w:p>
      <w:pPr>
        <w:widowControl w:val="on"/>
        <w:pBdr/>
        <w:spacing w:before="140" w:after="240" w:line="288" w:lineRule="auto"/>
        <w:ind w:left="0" w:right="0"/>
        <w:jc w:val="left"/>
      </w:pPr>
      <w:r>
        <w:rPr>
          <w:rFonts w:ascii="Arial" w:hAnsi="Arial" w:eastAsia="Arial" w:cs="Arial"/>
          <w:color w:val="000000"/>
          <w:sz w:val="20"/>
          <w:szCs w:val="20"/>
        </w:rPr>
        <w:t xml:space="preserve">Max Schuldner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1473424" w:name="note1"/>
            <w:bookmarkEnd w:id="21473424"/>
            <w:bookmarkStart w:id="4386164749811" w:name="note1"/>
            <w:r>
              <w:rPr>
                <w:rFonts w:ascii="Arial" w:hAnsi="Arial" w:eastAsia="Arial" w:cs="Arial"/>
                <w:b/>
                <w:bCs/>
                <w:color w:val="000000"/>
                <w:position w:val="0"/>
                <w:sz w:val="20"/>
                <w:szCs w:val="20"/>
              </w:rPr>
              <w:t xml:space="preserve">[1]</w:t>
            </w:r>
            <w:bookmarkEnd w:id="438616474981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„Kontenschutz“ iSd § 292i EO soll verhindern, dass das
Existenzminimum, das dem Schuldner nach Abzug der pfändbaren
Beträge auf dessen Konto überwiesen wurde, neuerlich gepfändet
wird. Demnach bestimmt § 292i Abs 1 EO, dass die Pfändung
des Guthabens auf Antrag des Verpflichteten vom Exekutionsgericht
insoweit aufzuheben ist, als das Guthaben dem der Pfändung nicht
unterworfenen Teil der Einkünfte für die Zeit von der Pfändung bis
zum nächsten Zahlungstermin entspricht.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0098560" w:name="note2"/>
            <w:bookmarkEnd w:id="70098560"/>
            <w:bookmarkStart w:id="4756985706918" w:name="note2"/>
            <w:r>
              <w:rPr>
                <w:rFonts w:ascii="Arial" w:hAnsi="Arial" w:eastAsia="Arial" w:cs="Arial"/>
                <w:b/>
                <w:bCs/>
                <w:color w:val="000000"/>
                <w:position w:val="0"/>
                <w:sz w:val="20"/>
                <w:szCs w:val="20"/>
              </w:rPr>
              <w:t xml:space="preserve">[2]</w:t>
            </w:r>
            <w:bookmarkEnd w:id="475698570691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Außerdem darf die Bank erst 14 Tage nach der Zustellung des
Überweisungsbeschlusses Zahlungen aus dem Kontoguthaben an den
betreibenden Gläubiger leisten (oder gerichtlich hinterlegen),
sofern es sich um gepfändetes Guthaben einer natürlichen Person
handelt.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6485903" w:name="note3"/>
            <w:bookmarkEnd w:id="26485903"/>
            <w:bookmarkStart w:id="3838676132134" w:name="note3"/>
            <w:r>
              <w:rPr>
                <w:rFonts w:ascii="Arial" w:hAnsi="Arial" w:eastAsia="Arial" w:cs="Arial"/>
                <w:b/>
                <w:bCs/>
                <w:color w:val="000000"/>
                <w:position w:val="0"/>
                <w:sz w:val="20"/>
                <w:szCs w:val="20"/>
              </w:rPr>
              <w:t xml:space="preserve">[3]</w:t>
            </w:r>
            <w:bookmarkEnd w:id="383867613213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Erfasst wird nur das zum Zeitpunkt der Exekutionsbewilligung an
den Drittschuldner bestehende Guthaben, die Exekutionsbewilligung
erstreckt sich nicht auf die zukünftigen Eingänge.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2491708" w:name="note4"/>
            <w:bookmarkEnd w:id="22491708"/>
            <w:bookmarkStart w:id="5028672263438" w:name="note4"/>
            <w:r>
              <w:rPr>
                <w:rFonts w:ascii="Arial" w:hAnsi="Arial" w:eastAsia="Arial" w:cs="Arial"/>
                <w:b/>
                <w:bCs/>
                <w:color w:val="000000"/>
                <w:position w:val="0"/>
                <w:sz w:val="20"/>
                <w:szCs w:val="20"/>
              </w:rPr>
              <w:t xml:space="preserve">[4]</w:t>
            </w:r>
            <w:bookmarkEnd w:id="502867226343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292i Abs 3 EO hat das Exekutionsgericht die
Pfändung des Guthabens für den Teil vorweg aufzuheben, dessen der
Verpflichtete bis zum nächsten Zahlungstermin dringend bedarf, um
seinen notwendigen Unterhalt zu bestreiten und seine laufenden
gesetzlichen Unterhaltspflichten zu erfüllen. Der vorweg
freigegebene Teil des Guthabens darf den Betrag nicht übersteigen,
der dem Verpflichteten voraussichtlich nach § 292i Abs 1
EO zu belassen ist. Der Verpflichtete hat glaubhaft zu machen, dass
beschränkt pfändbare Geldforderungen auf das Konto überwiesen
worden sind. Der betreibende Gläubiger ist nicht zu vernehmen, wenn
der damit verbundene Aufschub dem Verpflichteten nicht zuzumuten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0804776" w:name="note5"/>
            <w:bookmarkEnd w:id="80804776"/>
            <w:bookmarkStart w:id="4884977140807" w:name="note5"/>
            <w:r>
              <w:rPr>
                <w:rFonts w:ascii="Arial" w:hAnsi="Arial" w:eastAsia="Arial" w:cs="Arial"/>
                <w:b/>
                <w:bCs/>
                <w:color w:val="000000"/>
                <w:position w:val="0"/>
                <w:sz w:val="20"/>
                <w:szCs w:val="20"/>
              </w:rPr>
              <w:t xml:space="preserve">[5]</w:t>
            </w:r>
            <w:bookmarkEnd w:id="488497714080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Pfändung ist jedenfalls dann aufzuheben, wenn es sich bei
den Geldbeträgen, die auf das betroffene Konto überwiesen werden,
um beschränkt pfändbare Geldforderungen des Verpflichteten handelt,
die bereits an der Quelle gepfändet wurden, sodass auf das Konto
nur mehr das pfändungsfreie Existenzminimum überwiesen wurde (LG
Korneuburg 21 R 73/0, RPflE 2005/152).</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31361">
    <w:multiLevelType w:val="hybridMultilevel"/>
    <w:lvl w:ilvl="0" w:tplc="19282758">
      <w:start w:val="1"/>
      <w:numFmt w:val="decimal"/>
      <w:lvlText w:val="%1."/>
      <w:lvlJc w:val="left"/>
      <w:pPr>
        <w:ind w:left="720" w:hanging="360"/>
      </w:pPr>
    </w:lvl>
    <w:lvl w:ilvl="1" w:tplc="19282758" w:tentative="1">
      <w:start w:val="1"/>
      <w:numFmt w:val="lowerLetter"/>
      <w:lvlText w:val="%2."/>
      <w:lvlJc w:val="left"/>
      <w:pPr>
        <w:ind w:left="1440" w:hanging="360"/>
      </w:pPr>
    </w:lvl>
    <w:lvl w:ilvl="2" w:tplc="19282758" w:tentative="1">
      <w:start w:val="1"/>
      <w:numFmt w:val="lowerRoman"/>
      <w:lvlText w:val="%3."/>
      <w:lvlJc w:val="right"/>
      <w:pPr>
        <w:ind w:left="2160" w:hanging="180"/>
      </w:pPr>
    </w:lvl>
    <w:lvl w:ilvl="3" w:tplc="19282758" w:tentative="1">
      <w:start w:val="1"/>
      <w:numFmt w:val="decimal"/>
      <w:lvlText w:val="%4."/>
      <w:lvlJc w:val="left"/>
      <w:pPr>
        <w:ind w:left="2880" w:hanging="360"/>
      </w:pPr>
    </w:lvl>
    <w:lvl w:ilvl="4" w:tplc="19282758" w:tentative="1">
      <w:start w:val="1"/>
      <w:numFmt w:val="lowerLetter"/>
      <w:lvlText w:val="%5."/>
      <w:lvlJc w:val="left"/>
      <w:pPr>
        <w:ind w:left="3600" w:hanging="360"/>
      </w:pPr>
    </w:lvl>
    <w:lvl w:ilvl="5" w:tplc="19282758" w:tentative="1">
      <w:start w:val="1"/>
      <w:numFmt w:val="lowerRoman"/>
      <w:lvlText w:val="%6."/>
      <w:lvlJc w:val="right"/>
      <w:pPr>
        <w:ind w:left="4320" w:hanging="180"/>
      </w:pPr>
    </w:lvl>
    <w:lvl w:ilvl="6" w:tplc="19282758" w:tentative="1">
      <w:start w:val="1"/>
      <w:numFmt w:val="decimal"/>
      <w:lvlText w:val="%7."/>
      <w:lvlJc w:val="left"/>
      <w:pPr>
        <w:ind w:left="5040" w:hanging="360"/>
      </w:pPr>
    </w:lvl>
    <w:lvl w:ilvl="7" w:tplc="19282758" w:tentative="1">
      <w:start w:val="1"/>
      <w:numFmt w:val="lowerLetter"/>
      <w:lvlText w:val="%8."/>
      <w:lvlJc w:val="left"/>
      <w:pPr>
        <w:ind w:left="5760" w:hanging="360"/>
      </w:pPr>
    </w:lvl>
    <w:lvl w:ilvl="8" w:tplc="19282758" w:tentative="1">
      <w:start w:val="1"/>
      <w:numFmt w:val="lowerRoman"/>
      <w:lvlText w:val="%9."/>
      <w:lvlJc w:val="right"/>
      <w:pPr>
        <w:ind w:left="6480" w:hanging="180"/>
      </w:pPr>
    </w:lvl>
  </w:abstractNum>
  <w:abstractNum w:abstractNumId="62631360">
    <w:multiLevelType w:val="hybridMultilevel"/>
    <w:lvl w:ilvl="0" w:tplc="28211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31360">
    <w:abstractNumId w:val="62631360"/>
  </w:num>
  <w:num w:numId="62631361">
    <w:abstractNumId w:val="626313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20908171" Type="http://schemas.openxmlformats.org/officeDocument/2006/relationships/numbering" Target="numbering.xml"/><Relationship Id="rId73987737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