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4504371" w:name="document"/>
    <w:bookmarkEnd w:id="64504371"/>
    <w:p/>
    <w:p>
      <w:pPr>
        <w:widowControl w:val="on"/>
        <w:pBdr/>
        <w:spacing w:before="0" w:after="280" w:line="240" w:lineRule="auto"/>
        <w:ind w:left="0" w:right="0"/>
        <w:jc w:val="left"/>
      </w:pPr>
      <w:r>
        <w:rPr>
          <w:rFonts w:ascii="Arial" w:hAnsi="Arial" w:eastAsia="Arial" w:cs="Arial"/>
          <w:color w:val="363A40"/>
          <w:sz w:val="24"/>
          <w:szCs w:val="24"/>
        </w:rPr>
        <w:t xml:space="preserve">Dokument-ID: 905284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Versteigerung des Delogierungsguts</w:t>
      </w:r>
    </w:p>
    <w:p>
      <w:pPr>
        <w:widowControl w:val="on"/>
        <w:pBdr/>
        <w:spacing w:before="140" w:after="240" w:line="288" w:lineRule="auto"/>
        <w:ind w:left="0" w:right="0"/>
        <w:jc w:val="left"/>
      </w:pPr>
      <w:r>
        <w:rPr>
          <w:rFonts w:ascii="Arial" w:hAnsi="Arial" w:eastAsia="Arial" w:cs="Arial"/>
          <w:color w:val="000000"/>
          <w:sz w:val="20"/>
          <w:szCs w:val="20"/>
        </w:rPr>
        <w:t xml:space="preserve">Dr. Alexander Advokat, Rechtsanwalt</w:t>
      </w:r>
      <w:r>
        <w:rPr>
          <w:rFonts w:ascii="Arial" w:hAnsi="Arial" w:eastAsia="Arial" w:cs="Arial"/>
          <w:color w:val="000000"/>
          <w:sz w:val="20"/>
          <w:szCs w:val="20"/>
        </w:rPr>
        <w:br/>
        <w:t xml:space="preserve">Schollgasse 13</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per WebERV</w:t>
      </w:r>
    </w:p>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Baden</w:t>
      </w:r>
      <w:r>
        <w:rPr>
          <w:rFonts w:ascii="Arial" w:hAnsi="Arial" w:eastAsia="Arial" w:cs="Arial"/>
          <w:color w:val="000000"/>
          <w:sz w:val="20"/>
          <w:szCs w:val="20"/>
        </w:rPr>
        <w:br/>
        <w:t xml:space="preserve">Conrad-von-Hötzendorf-Platz 6</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AZ 35 E 34/…</w:t>
      </w:r>
    </w:p>
    <w:p>
      <w:pPr>
        <w:widowControl w:val="on"/>
        <w:pBdr/>
        <w:spacing w:before="140" w:after="240" w:line="288" w:lineRule="auto"/>
        <w:ind w:left="0" w:right="0"/>
        <w:jc w:val="right"/>
      </w:pPr>
      <w:r>
        <w:rPr>
          <w:rFonts w:ascii="Arial" w:hAnsi="Arial" w:eastAsia="Arial" w:cs="Arial"/>
          <w:color w:val="000000"/>
          <w:sz w:val="20"/>
          <w:szCs w:val="20"/>
        </w:rPr>
        <w:t xml:space="preserve">Baden,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Liefer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Alexander Advokat, Rechtsanwalt</w:t>
            </w:r>
            <w:r>
              <w:rPr>
                <w:rFonts w:ascii="Arial" w:hAnsi="Arial" w:eastAsia="Arial" w:cs="Arial"/>
                <w:color w:val="000000"/>
                <w:position w:val="0"/>
                <w:sz w:val="20"/>
                <w:szCs w:val="20"/>
                <w:shd w:val="clear" w:color="auto" w:fill="FFFFFF"/>
              </w:rPr>
              <w:br/>
              <w:t xml:space="preserve">Schollgasse 13</w:t>
            </w:r>
            <w:r>
              <w:rPr>
                <w:rFonts w:ascii="Arial" w:hAnsi="Arial" w:eastAsia="Arial" w:cs="Arial"/>
                <w:color w:val="000000"/>
                <w:position w:val="0"/>
                <w:sz w:val="20"/>
                <w:szCs w:val="20"/>
                <w:shd w:val="clear" w:color="auto" w:fill="FFFFFF"/>
              </w:rPr>
              <w:br/>
              <w:t xml:space="preserve">2500 Baden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Manfred Arbeiter</w:t>
            </w:r>
            <w:r>
              <w:rPr>
                <w:rFonts w:ascii="Arial" w:hAnsi="Arial" w:eastAsia="Arial" w:cs="Arial"/>
                <w:color w:val="000000"/>
                <w:position w:val="0"/>
                <w:sz w:val="20"/>
                <w:szCs w:val="20"/>
                <w:shd w:val="clear" w:color="auto" w:fill="FFFFFF"/>
              </w:rPr>
              <w:br/>
              <w:t xml:space="preserve">dzt unbekannten Aufenthalts</w:t>
            </w:r>
            <w:r>
              <w:rPr>
                <w:rFonts w:ascii="Arial" w:hAnsi="Arial" w:eastAsia="Arial" w:cs="Arial"/>
                <w:color w:val="000000"/>
                <w:position w:val="0"/>
                <w:sz w:val="20"/>
                <w:szCs w:val="20"/>
                <w:shd w:val="clear" w:color="auto" w:fill="FFFFFF"/>
              </w:rPr>
              <w:br/>
              <w:t xml:space="preserve">zuvor: Bahngasse 5</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Kaiser, Rechtsanwalt</w:t>
            </w:r>
            <w:r>
              <w:rPr>
                <w:rFonts w:ascii="Arial" w:hAnsi="Arial" w:eastAsia="Arial" w:cs="Arial"/>
                <w:color w:val="000000"/>
                <w:position w:val="0"/>
                <w:sz w:val="20"/>
                <w:szCs w:val="20"/>
                <w:shd w:val="clear" w:color="auto" w:fill="FFFFFF"/>
              </w:rPr>
              <w:br/>
              <w:t xml:space="preserve">Hauptplatz 5</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Räumung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Versteigerung des
Delogierungsguts</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umseits ausgewiesenem Exekutionsverfahren ist am … die
Räumung der Wohnung der verpflichteten Partei in 2500 Baden,
Bahngasse 5, erfolgt. Anlässlich der zwangsweisen Räumung wurden
die Fahrnisse der verpflichteten Partei abtransportiert und bei der
Räumungs GmbH in 2500 Baden, Lagerplatz 1, eingelagert.</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hat die delogierten Fahrnisse bislang
nicht abgeholt und auch die Kosten der Verwahrung nicht bezahlt.
Die verpflichtete Partei stellt daher durch ihren ausgewiesenen
Rechtsvertreter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Versteigerung des Delogierungsguts gem § 349
Abs 2 EO für Rechnung der verpflichteten Partei nach
vorheriger Androhung des Verkaufs. Weiters beantragt die
betreibende Partei die Bestimmung der unten verzeichneten Kosten
dieses Antrags als weitere Exekutionskosten.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Liefer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r>
              <w:rPr>
                <w:rFonts w:ascii="Arial" w:hAnsi="Arial" w:eastAsia="Arial" w:cs="Arial"/>
                <w:color w:val="000000"/>
                <w:position w:val="0"/>
                <w:sz w:val="20"/>
                <w:szCs w:val="20"/>
                <w:shd w:val="clear" w:color="auto" w:fill="FFFFFF"/>
              </w:rPr>
              <w:br/>
              <w:t xml:space="preserve">(Bemessungsgrundlage EUR 730,–)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43,70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26,22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ERV-Erhöhungsbetrag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14,40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86,42</w:t>
            </w:r>
          </w:p>
        </w:tc>
      </w:tr>
    </w:tbl>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Manfred Arbeiter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349 Abs 2 EO regelt, wie mit dem Delogierungsgut
umzugehen ist. Sofern die verpflichtete Partei bei der Räumung
anwesend ist, hat der Gerichtsvollzieher ihr die Fahrnisse zu
übergeben. Ist die verpflichtete Partei hingegen nicht anwesend,
sind die Fahrnisse ihrem Bevollmächtigten oder einer zur Familie
der verpflichteten Partei gehörigen oder in dieser beschäftigten
erwachsenen Person zu übergeben.</w:t>
      </w:r>
    </w:p>
    <w:p>
      <w:pPr>
        <w:widowControl w:val="on"/>
        <w:pBdr/>
        <w:spacing w:before="140" w:after="240" w:line="288" w:lineRule="auto"/>
        <w:ind w:left="0" w:right="0"/>
        <w:jc w:val="left"/>
      </w:pPr>
      <w:r>
        <w:rPr>
          <w:rFonts w:ascii="Arial" w:hAnsi="Arial" w:eastAsia="Arial" w:cs="Arial"/>
          <w:color w:val="000000"/>
          <w:sz w:val="20"/>
          <w:szCs w:val="20"/>
        </w:rPr>
        <w:t xml:space="preserve">Sollten weder die verpflichtete Partei noch eine sonstige zur
Übernahme befugte Person bei der Räumung anwesend sein, dann sind
die Sachen auf Kosten der verpflichteten Partei durch das
Vollstreckungsorgan anderweitig in Verwahrung zu bringen. Davon
sind die dem Gericht bekannten Personen, für die die Sachen
gepfändet wurden oder die sonst Anspruch darauf haben, zu
verständigen. Sofern die verpflichtete Partei die Rückforderung der
verwahrten Sachen verzögert oder mit der Entrichtung der
Verwahrungskosten in Verzug ist, sind die Fahrnisse letztlich auf
Anordnung des Gerichts nach vorheriger Androhung gegenüber der
verpflichteten Partei auf deren Rechnung zu verkaufen.</w:t>
      </w:r>
    </w:p>
    <w:p>
      <w:pPr>
        <w:widowControl w:val="on"/>
        <w:pBdr/>
        <w:spacing w:before="140" w:after="240" w:line="288" w:lineRule="auto"/>
        <w:ind w:left="0" w:right="0"/>
        <w:jc w:val="left"/>
      </w:pPr>
      <w:r>
        <w:rPr>
          <w:rFonts w:ascii="Arial" w:hAnsi="Arial" w:eastAsia="Arial" w:cs="Arial"/>
          <w:color w:val="000000"/>
          <w:sz w:val="20"/>
          <w:szCs w:val="20"/>
        </w:rPr>
        <w:t xml:space="preserve">Für den betreibenden Gläubiger ist es jedenfalls ratsam,
möglichst früh einen Verkaufsantrag zu stellen, um eine
möglicherweise kostenaufwendige Verwahrung zu vermeiden. Gem
§ 349 Abs 3 EO ist der nach der Deckung der Verwahrungs-
und Veräußerungskosten allfällig verbleibende Erlös für die
verpflichtete Partei gerichtlich zu hinterlegen.</w:t>
      </w:r>
    </w:p>
    <w:p>
      <w:pPr>
        <w:widowControl w:val="on"/>
        <w:pBdr/>
        <w:spacing w:before="140" w:after="240" w:line="288" w:lineRule="auto"/>
        <w:ind w:left="0" w:right="0"/>
        <w:jc w:val="left"/>
      </w:pPr>
      <w:r>
        <w:rPr>
          <w:rFonts w:ascii="Arial" w:hAnsi="Arial" w:eastAsia="Arial" w:cs="Arial"/>
          <w:color w:val="000000"/>
          <w:sz w:val="20"/>
          <w:szCs w:val="20"/>
        </w:rPr>
        <w:t xml:space="preserve">Für den Verkaufsantrag können Kosten nach TP 2 RATG
verzeichnet werden. Strittig ist allerdings die Bemessungsgrundlage
für den Antrag. Ein Großteil der Rsp zieht die bei einer
Einschränkung auf Nebengebühren vor dem Bezirksgericht anzunehmende
Bemessungsgrundlage von EUR 150,– heran. Da im
Verkaufsverfahren aber nicht nur Nebengebühren Verfahrensgegenstand
sind, sprechen gute Argumente für den Zweifelsstreitwert in
bezirksgerichtlichen Verfahren von EUR 730,–
(</w:t>
      </w:r>
      <w:r>
        <w:rPr>
          <w:rFonts w:ascii="Arial" w:hAnsi="Arial" w:eastAsia="Arial" w:cs="Arial"/>
          <w:i/>
          <w:iCs/>
          <w:color w:val="000000"/>
          <w:sz w:val="20"/>
          <w:szCs w:val="20"/>
        </w:rPr>
        <w:t xml:space="preserve">Mini/Scholz</w:t>
      </w:r>
      <w:r>
        <w:rPr>
          <w:rFonts w:ascii="Arial" w:hAnsi="Arial" w:eastAsia="Arial" w:cs="Arial"/>
          <w:color w:val="000000"/>
          <w:sz w:val="20"/>
          <w:szCs w:val="20"/>
        </w:rPr>
        <w:t xml:space="preserve">, 251).</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52665">
    <w:multiLevelType w:val="hybridMultilevel"/>
    <w:lvl w:ilvl="0" w:tplc="39074121">
      <w:start w:val="1"/>
      <w:numFmt w:val="decimal"/>
      <w:lvlText w:val="%1."/>
      <w:lvlJc w:val="left"/>
      <w:pPr>
        <w:ind w:left="720" w:hanging="360"/>
      </w:pPr>
    </w:lvl>
    <w:lvl w:ilvl="1" w:tplc="39074121" w:tentative="1">
      <w:start w:val="1"/>
      <w:numFmt w:val="lowerLetter"/>
      <w:lvlText w:val="%2."/>
      <w:lvlJc w:val="left"/>
      <w:pPr>
        <w:ind w:left="1440" w:hanging="360"/>
      </w:pPr>
    </w:lvl>
    <w:lvl w:ilvl="2" w:tplc="39074121" w:tentative="1">
      <w:start w:val="1"/>
      <w:numFmt w:val="lowerRoman"/>
      <w:lvlText w:val="%3."/>
      <w:lvlJc w:val="right"/>
      <w:pPr>
        <w:ind w:left="2160" w:hanging="180"/>
      </w:pPr>
    </w:lvl>
    <w:lvl w:ilvl="3" w:tplc="39074121" w:tentative="1">
      <w:start w:val="1"/>
      <w:numFmt w:val="decimal"/>
      <w:lvlText w:val="%4."/>
      <w:lvlJc w:val="left"/>
      <w:pPr>
        <w:ind w:left="2880" w:hanging="360"/>
      </w:pPr>
    </w:lvl>
    <w:lvl w:ilvl="4" w:tplc="39074121" w:tentative="1">
      <w:start w:val="1"/>
      <w:numFmt w:val="lowerLetter"/>
      <w:lvlText w:val="%5."/>
      <w:lvlJc w:val="left"/>
      <w:pPr>
        <w:ind w:left="3600" w:hanging="360"/>
      </w:pPr>
    </w:lvl>
    <w:lvl w:ilvl="5" w:tplc="39074121" w:tentative="1">
      <w:start w:val="1"/>
      <w:numFmt w:val="lowerRoman"/>
      <w:lvlText w:val="%6."/>
      <w:lvlJc w:val="right"/>
      <w:pPr>
        <w:ind w:left="4320" w:hanging="180"/>
      </w:pPr>
    </w:lvl>
    <w:lvl w:ilvl="6" w:tplc="39074121" w:tentative="1">
      <w:start w:val="1"/>
      <w:numFmt w:val="decimal"/>
      <w:lvlText w:val="%7."/>
      <w:lvlJc w:val="left"/>
      <w:pPr>
        <w:ind w:left="5040" w:hanging="360"/>
      </w:pPr>
    </w:lvl>
    <w:lvl w:ilvl="7" w:tplc="39074121" w:tentative="1">
      <w:start w:val="1"/>
      <w:numFmt w:val="lowerLetter"/>
      <w:lvlText w:val="%8."/>
      <w:lvlJc w:val="left"/>
      <w:pPr>
        <w:ind w:left="5760" w:hanging="360"/>
      </w:pPr>
    </w:lvl>
    <w:lvl w:ilvl="8" w:tplc="39074121" w:tentative="1">
      <w:start w:val="1"/>
      <w:numFmt w:val="lowerRoman"/>
      <w:lvlText w:val="%9."/>
      <w:lvlJc w:val="right"/>
      <w:pPr>
        <w:ind w:left="6480" w:hanging="180"/>
      </w:pPr>
    </w:lvl>
  </w:abstractNum>
  <w:abstractNum w:abstractNumId="91352664">
    <w:multiLevelType w:val="hybridMultilevel"/>
    <w:lvl w:ilvl="0" w:tplc="29012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52664">
    <w:abstractNumId w:val="91352664"/>
  </w:num>
  <w:num w:numId="91352665">
    <w:abstractNumId w:val="91352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96865932" Type="http://schemas.openxmlformats.org/officeDocument/2006/relationships/numbering" Target="numbering.xml"/><Relationship Id="rId7880380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