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50133222" w:name="document"/>
    <w:bookmarkEnd w:id="50133222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1015508 | Vera Noss | Muster |
Checkliste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Der Unternehmenskauf – einzelne Stadien</w:t>
      </w:r>
    </w:p>
    <w:p>
      <w:pPr>
        <w:numPr>
          <w:ilvl w:val="0"/>
          <w:numId w:val="25500894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Vorbereitungsphase</w:t>
      </w:r>
    </w:p>
    <w:p>
      <w:pPr>
        <w:numPr>
          <w:ilvl w:val="1"/>
          <w:numId w:val="25500894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Projektorganisation</w:t>
      </w:r>
    </w:p>
    <w:p>
      <w:pPr>
        <w:numPr>
          <w:ilvl w:val="1"/>
          <w:numId w:val="25500894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Festlegung der Vorgehensstrategie</w:t>
      </w:r>
    </w:p>
    <w:p>
      <w:pPr>
        <w:numPr>
          <w:ilvl w:val="1"/>
          <w:numId w:val="25500894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Grobe Beurteilung des Zielobjektes</w:t>
      </w:r>
    </w:p>
    <w:p>
      <w:pPr>
        <w:numPr>
          <w:ilvl w:val="1"/>
          <w:numId w:val="25500894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Letter of Intent (Absichtserklärung)/Vorvertrag</w:t>
      </w:r>
    </w:p>
    <w:p>
      <w:pPr>
        <w:numPr>
          <w:ilvl w:val="0"/>
          <w:numId w:val="25500894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Due Diligence-Phase</w:t>
      </w:r>
    </w:p>
    <w:p>
      <w:pPr>
        <w:numPr>
          <w:ilvl w:val="1"/>
          <w:numId w:val="25500894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Grundsätzliche Abklärung der Eckpunkte der geplanten
Transaktion</w:t>
      </w:r>
    </w:p>
    <w:p>
      <w:pPr>
        <w:numPr>
          <w:ilvl w:val="1"/>
          <w:numId w:val="25500894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Vorbereitung der Due Diligence</w:t>
      </w:r>
    </w:p>
    <w:p>
      <w:pPr>
        <w:numPr>
          <w:ilvl w:val="1"/>
          <w:numId w:val="25500894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Durchführung der Due Diligence (= Sonderuntersuchung bzw
Einzelprüfung einer zu kaufenden Gesellschaft durch den
potenziellen Käufer, wobei die Aspekte Überprüfung des
Zusammenpassens mit Akquisitionszielen und Akquisitionsstrategien,
Ermittlung von so genannten Deal-Breakern (= Bilanzrisiken,
vertragliche Risiken, Geschäftsrisiken), Vorbereitung von
Transaktionsstruktur, Kaufpreis und Vertrag sowie Vorbereitung der
Integration im Vordergrund stehen.</w:t>
      </w:r>
    </w:p>
    <w:p>
      <w:pPr>
        <w:numPr>
          <w:ilvl w:val="1"/>
          <w:numId w:val="25500894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Bewertung der Ergebnisse der Due Diligence</w:t>
      </w:r>
    </w:p>
    <w:p>
      <w:pPr>
        <w:numPr>
          <w:ilvl w:val="0"/>
          <w:numId w:val="25500894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Verhandlungsphase</w:t>
      </w:r>
    </w:p>
    <w:p>
      <w:pPr>
        <w:numPr>
          <w:ilvl w:val="1"/>
          <w:numId w:val="25500894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Angebotsabgabe</w:t>
      </w:r>
    </w:p>
    <w:p>
      <w:pPr>
        <w:numPr>
          <w:ilvl w:val="1"/>
          <w:numId w:val="25500894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Vertragsverhandlungen</w:t>
      </w:r>
    </w:p>
    <w:p>
      <w:pPr>
        <w:numPr>
          <w:ilvl w:val="1"/>
          <w:numId w:val="25500894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Planung der Integration des Zielobjektes beim Käufer</w:t>
      </w:r>
    </w:p>
    <w:p>
      <w:pPr>
        <w:numPr>
          <w:ilvl w:val="0"/>
          <w:numId w:val="25500894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Signing und Closing-Phase</w:t>
      </w:r>
    </w:p>
    <w:p>
      <w:pPr>
        <w:numPr>
          <w:ilvl w:val="1"/>
          <w:numId w:val="25500894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Regelung des Vollzugs der Transaktion</w:t>
      </w:r>
    </w:p>
    <w:p>
      <w:pPr>
        <w:numPr>
          <w:ilvl w:val="1"/>
          <w:numId w:val="25500894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Signing</w:t>
      </w:r>
    </w:p>
    <w:p>
      <w:pPr>
        <w:numPr>
          <w:ilvl w:val="1"/>
          <w:numId w:val="25500894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Closing</w:t>
      </w:r>
    </w:p>
    <w:p>
      <w:pPr>
        <w:numPr>
          <w:ilvl w:val="1"/>
          <w:numId w:val="25500894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Planung der Integration des Zielobjektes beim Käufer</w:t>
      </w:r>
    </w:p>
    <w:p>
      <w:pPr>
        <w:numPr>
          <w:ilvl w:val="0"/>
          <w:numId w:val="25500894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Integrationsphase</w:t>
      </w:r>
    </w:p>
    <w:p>
      <w:pPr>
        <w:numPr>
          <w:ilvl w:val="1"/>
          <w:numId w:val="25500894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Durchführung der Integrationsmaßnahmen</w:t>
      </w:r>
    </w:p>
    <w:p>
      <w:pPr>
        <w:numPr>
          <w:ilvl w:val="1"/>
          <w:numId w:val="25500894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Festlegung der Führungsebene</w:t>
      </w:r>
    </w:p>
    <w:p>
      <w:pPr>
        <w:numPr>
          <w:ilvl w:val="1"/>
          <w:numId w:val="25500894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Umsetzungscontrolling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5008942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○"/>
      <w:lvlJc w:val="left"/>
      <w:pPr>
        <w:ind w:left="1440" w:hanging="360"/>
      </w:pPr>
      <w:rPr/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0744827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○"/>
      <w:lvlJc w:val="left"/>
      <w:pPr>
        <w:ind w:left="1440" w:hanging="360"/>
      </w:pPr>
      <w:rPr/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4105445">
    <w:multiLevelType w:val="hybridMultilevel"/>
    <w:lvl w:ilvl="0" w:tplc="16962275">
      <w:start w:val="1"/>
      <w:numFmt w:val="decimal"/>
      <w:lvlText w:val="%1."/>
      <w:lvlJc w:val="left"/>
      <w:pPr>
        <w:ind w:left="720" w:hanging="360"/>
      </w:pPr>
    </w:lvl>
    <w:lvl w:ilvl="1" w:tplc="16962275" w:tentative="1">
      <w:start w:val="1"/>
      <w:numFmt w:val="lowerLetter"/>
      <w:lvlText w:val="%2."/>
      <w:lvlJc w:val="left"/>
      <w:pPr>
        <w:ind w:left="1440" w:hanging="360"/>
      </w:pPr>
    </w:lvl>
    <w:lvl w:ilvl="2" w:tplc="16962275" w:tentative="1">
      <w:start w:val="1"/>
      <w:numFmt w:val="lowerRoman"/>
      <w:lvlText w:val="%3."/>
      <w:lvlJc w:val="right"/>
      <w:pPr>
        <w:ind w:left="2160" w:hanging="180"/>
      </w:pPr>
    </w:lvl>
    <w:lvl w:ilvl="3" w:tplc="16962275" w:tentative="1">
      <w:start w:val="1"/>
      <w:numFmt w:val="decimal"/>
      <w:lvlText w:val="%4."/>
      <w:lvlJc w:val="left"/>
      <w:pPr>
        <w:ind w:left="2880" w:hanging="360"/>
      </w:pPr>
    </w:lvl>
    <w:lvl w:ilvl="4" w:tplc="16962275" w:tentative="1">
      <w:start w:val="1"/>
      <w:numFmt w:val="lowerLetter"/>
      <w:lvlText w:val="%5."/>
      <w:lvlJc w:val="left"/>
      <w:pPr>
        <w:ind w:left="3600" w:hanging="360"/>
      </w:pPr>
    </w:lvl>
    <w:lvl w:ilvl="5" w:tplc="16962275" w:tentative="1">
      <w:start w:val="1"/>
      <w:numFmt w:val="lowerRoman"/>
      <w:lvlText w:val="%6."/>
      <w:lvlJc w:val="right"/>
      <w:pPr>
        <w:ind w:left="4320" w:hanging="180"/>
      </w:pPr>
    </w:lvl>
    <w:lvl w:ilvl="6" w:tplc="16962275" w:tentative="1">
      <w:start w:val="1"/>
      <w:numFmt w:val="decimal"/>
      <w:lvlText w:val="%7."/>
      <w:lvlJc w:val="left"/>
      <w:pPr>
        <w:ind w:left="5040" w:hanging="360"/>
      </w:pPr>
    </w:lvl>
    <w:lvl w:ilvl="7" w:tplc="16962275" w:tentative="1">
      <w:start w:val="1"/>
      <w:numFmt w:val="lowerLetter"/>
      <w:lvlText w:val="%8."/>
      <w:lvlJc w:val="left"/>
      <w:pPr>
        <w:ind w:left="5760" w:hanging="360"/>
      </w:pPr>
    </w:lvl>
    <w:lvl w:ilvl="8" w:tplc="169622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105444">
    <w:multiLevelType w:val="hybridMultilevel"/>
    <w:lvl w:ilvl="0" w:tplc="422992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105444">
    <w:abstractNumId w:val="64105444"/>
  </w:num>
  <w:num w:numId="64105445">
    <w:abstractNumId w:val="64105445"/>
  </w:num>
  <w:num w:numId="90744827">
    <w:abstractNumId w:val="90744827"/>
  </w:num>
  <w:num w:numId="255008942">
    <w:abstractNumId w:val="2550089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211175569" Type="http://schemas.openxmlformats.org/officeDocument/2006/relationships/numbering" Target="numbering.xml"/><Relationship Id="rId859853747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