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6139565" w:name="document"/>
    <w:bookmarkEnd w:id="66139565"/>
    <w:p/>
    <w:p>
      <w:pPr>
        <w:widowControl w:val="on"/>
        <w:pBdr/>
        <w:spacing w:before="0" w:after="280" w:line="240" w:lineRule="auto"/>
        <w:ind w:left="0" w:right="0"/>
        <w:jc w:val="left"/>
      </w:pPr>
      <w:r>
        <w:rPr>
          <w:rFonts w:ascii="Arial" w:hAnsi="Arial" w:eastAsia="Arial" w:cs="Arial"/>
          <w:color w:val="363A40"/>
          <w:sz w:val="24"/>
          <w:szCs w:val="24"/>
        </w:rPr>
        <w:t xml:space="preserve">Dokument-ID: 1015510 | Vera Noss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Due Diligence</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Definition</w:t>
      </w:r>
      <w:r>
        <w:rPr>
          <w:rFonts w:ascii="Arial" w:hAnsi="Arial" w:eastAsia="Arial" w:cs="Arial"/>
          <w:color w:val="000000"/>
          <w:sz w:val="20"/>
          <w:szCs w:val="20"/>
        </w:rPr>
        <w:br/>
        <w:t xml:space="preserve">Unter einer Due Diligence wird die sorgfältige Prüfung, Analyse und
Bewertung eines Unternehmens, insbesondere im Hinblick auf seine
wirtschaftlichen, rechtlichen, steuerlichen und finanziellen
Verhältnisse gesehen. Wörtlich übersetzt heißt der Begriff Due
Diligence „erforderliche Sorgfalt“ und weist somit bereits auf das
Ziel einer Due Diligence hin, sich über mögliche Risiken und
Chancen im Zusammenhang mit dem zu erwerbenden Kaufobjekt bewusst
zu werden und sicherzustellen, dass die Annahmen und
Voraussetzungen, unter denen die Entscheidung für eine mögliche
Transaktion getroffen wurde, auch tatsächlich zutreffen.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Legal Due Diligence</w:t>
      </w:r>
      <w:r>
        <w:rPr>
          <w:rFonts w:ascii="Arial" w:hAnsi="Arial" w:eastAsia="Arial" w:cs="Arial"/>
          <w:color w:val="000000"/>
          <w:sz w:val="20"/>
          <w:szCs w:val="20"/>
        </w:rPr>
        <w:br/>
        <w:t xml:space="preserve">Die Legal Due Diligence dient insbesondere der Identifikation und
Analyse rechtlicher Risiken. Neben den rechtlichen
Rahmenbedingungen werden regelmäßig bestehende
Vertragsverhältnisse, schwebende Prozesse und sonstige (zB
Verwaltungs-)Verfahren sowie öffentlich-rechtliche
Genehmigungen/Bewilligungen (zB Betriebsanlagengenehmigung etc)
analysiert.</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Tax Due Diligence</w:t>
      </w:r>
      <w:r>
        <w:rPr>
          <w:rFonts w:ascii="Arial" w:hAnsi="Arial" w:eastAsia="Arial" w:cs="Arial"/>
          <w:color w:val="000000"/>
          <w:sz w:val="20"/>
          <w:szCs w:val="20"/>
        </w:rPr>
        <w:br/>
        <w:t xml:space="preserve">Die Tax Due Diligence dient der Identifikation steuerlicher Risiken
sowie steuerlicher Chancen des Zielobjektes. Die durch die Due
Diligence erhaltenen Informationen ermöglichen dem potenziellen
Käufer die Entscheidung über Kauf oder Abbruch der Verhandlungen
und helfen bei der Entwicklung einer steueroptimalen
Transaktionsstruktur. Aufgrund seiner durch die Tax Due Diligence
verbesserten Informationslage hat der Käufer im Rahmen der
Kaufvertragsverhandlung bessere Möglichkeiten, einen
Kaufpreisabschlag, die Aufnahme von Bilanz- und Steuerklauseln für
Gewährleistungsfälle sowie Besicherungsmaßnahmen (escrow account)
auszuverhandeln.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Financial Due Diligence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Basis der Informationen aus einer Financial Due Diligence
ist eine Analyse und Plausibilisierung von Prognosen der
Vermögens-, Ertrags- und Finanzlage des Targets möglich. Hierbei
wird besonderes Augenmerk auf das Rechenwerk des Targets
gelegt.</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Commercial Due Diligence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Commercial Due Diligence zielt im Wesentlichen auf eine
Beurteilung der Marktlage sowie eine Wettbewerbs- und
Unternehmensanalyse ab und erlaubt somit ein Benchmarking des
Zielobjekts.</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Technical Due Diligence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Due Diligence Prüfungen, welche auf produzierende
Unternehmen begrenzt sind, werden zur Beurteilung des technischen
Zustands und zur Bewertung von Anlagen und Produktionsverfahren
durchgeführt und können zB Modernisierungsnotwendigkeiten
aufdecken.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Environmental Due Diligence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Rahmen einer Environmental Due Diligence sollen Risiken von
gegenwärtigen oder zukünftigen Umwelteinflüssen, aber auch
beispielsweise Risiken iZm Kontaminationen uä beurteilt
werden.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Eigentliche Due Diligence</w:t>
      </w:r>
      <w:r>
        <w:rPr>
          <w:rFonts w:ascii="Arial" w:hAnsi="Arial" w:eastAsia="Arial" w:cs="Arial"/>
          <w:color w:val="000000"/>
          <w:sz w:val="20"/>
          <w:szCs w:val="20"/>
        </w:rPr>
        <w:t xml:space="preserve">, bestehend aus
</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Dataroom</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Offenlegung jener Dokumente, die das Zielobjekt (möglichst)
abschließend erklären, wie</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Statuten</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Finanzen</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HR</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Marktdaten</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Produktion</w:t>
      </w:r>
    </w:p>
    <w:p>
      <w:pPr>
        <w:numPr>
          <w:ilvl w:val="2"/>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IT etc</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Postsigning/Confirmatory Due Diligence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Hier wird eine vertiefte Einsicht in ausgewählte Aspekte nach
der Due Diligence im Dataroom gewährt.</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Ergänzende Elemente einer Due Diligence können sein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Management Präsentation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Hier werden wesentliche Aspekte der Unternehmensführung
präsentiert.</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Site visit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Besuch von Produktionsstätten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Ablauf aus Sicht des Käufers:</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Vorbereitung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Fixierung der Analyseschwerpunkte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Zusammenstellung des Due Diligence-Teams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Übermittlung der Basisunterlagen an die Teammitglieder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Kickoff-Meeting Team</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Festlegung der Aufgabenverteilung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Fixierung des Umfanges des Due Diligence-Reports und dessen
grober Struktur</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Durchführung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Einsichtnahme in die Data Room-Dokumente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Stellung von ergänzenden Fragen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Anforderung von Kopien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Regelmäßige Abstimmung der Teammitglieder untereinander
betreffend Aufgabenteilung, wesentliche Punkte der Analyse sowie
erste Ergebnisse der Untersuchung</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Verhandlungsvorbereitung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Vorlage des Due Diligence-Berichtes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Schlussbesprechung im Team</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Erarbeitung der anzustrebenden Transaktionsstruktur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Gewährleistung/Garantien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Ermittlung des Kaufpreises</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Legal Due Diligence – Liste</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Gesellschaftsrecht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Firmenbuchauszug des Zielobjektes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Unternehmensschema/Stammbaum der Gruppe des Zielobjektes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Beteiligungen an anderen Unternehmen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Zweigniederlassungen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des Zielobjektes aktuelle Fassung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Generalversammlungsprotokolle und Umlaufbeschlüsse der
Gesellschafter des Zielobjektes der letzten drei Jahre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Information über vergangene Umgründungen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Allfällige eingebrachte, aber noch nicht eingetragene
Firmenbuchanträge (samt Beilagen)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Stimmbindungs- und Syndikatsverträge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Geschäftsanteile verpfändet?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Treuhandverträge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Joint Ventures, Kooperationen oder ARGEN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Arbeitsrecht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Anwendbarer Kollektivvertrag bzw Kollektivverträge?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Sämtliche Betriebsvereinbarungen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Übungen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Freiwillige Sozialleistungen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Name und Anschrift der Mitarbeitervorsorgekasse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 über die Übertragung von
Altabfertigungsanwartschaften in das System der Abfertigung
Neu</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Aktuelle Liste der Arbeitnehmer mit Kennzeichnung der
geschützten Arbeitnehmer (Schwangere, Präsenz- und Zivildiener,
Behinderte, Lehrlinge und Betriebsräte), allenfalls mit Aufteilung
in Männer und Frauen und Angestellte und Arbeiter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Arbeitnehmer inklusive angelaufener
Abfertigungsansprüche und Beschäftigungsdauer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Beschäftigte Ausländer (Befreiungsscheine usw)</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Entsendete Arbeitnehmer im Ausland oder (nach Österreich) in
das Zielobjekt entsendete Arbeitnehmer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Arbeitskräfteüberlassungen (entsendend oder empfangend)</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Standarddienstvertrag/Dienstzettel</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Davon abweichende Dienstverträge (Sonderverträge)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der Geschäftsführer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der leitenden Angestellten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Pensionszusagen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Pensionskasse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Gewinnbeteiligungen/Prämien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Provisionsregelungen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Überstundenvereinbarungen: Überstundenpauschale,
Überstundenausgleich</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Spesen-Aufwandersatzregelungen (inklusive Kilometergeld
etc)</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Entlohnung von Dienstreisen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Dienstwagen(regelungen)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Rückzahlung bzw Finanzierung von Ausbildungskosten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Konkurrenzverbote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Arbeitszeit, Kontrolle (Stechuhr etc)</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 und Überwachungssysteme (Telefon-, Audio-, Video- und
Chipcardanlagen etc)</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Gibt oder gab es Beanstandungen durch das
Arbeitsinspektorat?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Entlassungen und Kündigungen der letzten zwei
Jahre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Gibt/gab es Rechtsstreitigkeiten mit Arbeitnehmern (auch
außergerichtliche)?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arbeitsrechtliche Verfahren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Gewerberecht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Gewerbeberechtigungen, Befähigungsnachweise gewerberechtlicher
Geschäftsführer (sind diese vom Betriebsübergang erfasst?)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Betriebsanlagengenehmigungen (allfällige Befristungen? Sind
alle Auflagen erfüllt?)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Behördliche Beschränkungen für den Betrieb (zB Export- oder
Importkontingente im In- und Ausland, Transportbewilligungen,
Außenhandelsgesetz, Kriegsmaterialiengesetz)</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Wurden die entsprechenden Vorschriften zur Behandlung und
Lagerung der verwendeten Rohmaterialien (Gefahrengüter)
eingehalten? Entsprechende Bescheide, Prüfberichte und
Auflagen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Gewerbepolizeiliche Aufträge, Auflagen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Umweltrecht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Wasser- oder umweltbehördliche Aufträge, Auflagen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umweltbehördliche 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Einsichtnahme in Wasserbuch</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Wasserrechtliche Bewilligungen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bzw Verträge zur Beseitigung von Altlasten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Prüfberichte oder Messungen der Emissionen
(Luftreinhaltegesetz)</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Bodengutachten (Altlasten)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Stillgelegte oder stillzulegende Betriebsanlagen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Abfallwirtschaftskonzepte oder abfallrechtliche Erlaubnisse
(Begleitscheine, Abfallsammlererlaubnis, Aufzeichnungs-, Melde- und
Nachweispflicht für Abfälle)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Bereits erfolgte Umweltbetriebs-, Qualitätsprüfungen oder
Öko-Audits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Stellungnahme des Gemeindeamts, ob am Grundstück Altlasten
bekannt sind oder ob das Grundstück als Verdachtsfläche gemeldet
wurde. Einsicht in den Verdachtsflächenkataster</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Liegenschaftsrecht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Liegenschaften der Gesellschaft samt genauen Adressen
und Grundbuchsdaten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Grundbuchsauszüge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Bescheide, behördliche Anordnungen und Sicherungs-, Sanierungs-
und Beseitigungsaufträge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Pfandrechte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Details aller Belastungen (auch allfälliger Belastungen, die
nicht aus dem Grundbuch ersichtlich sind)</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Baurecht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Bauvorhaben auf der Betriebsliegenschaft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Abbruchbescheide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Baubewilligungen, Bauplatzbewilligungen,
Benützungsbewilligungen und dergleichen für sämtliche Bestandteile
des Firmenareals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Denkmalschutz: anhängige 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Änderungen in der Flächenwidmung, die das
Betriebsgrundstück betreffen, absehbar oder zu befürchten?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Bestandverträge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bestehenden Leasing-, Miet- und Pachtverträge mit Bezug
zum Betrieb</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Fruchtgenussrechte, Ausgedinge, Leibrenten oder
dergleichen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Abgaben- und Steuerrecht, Finanz- und
Rechnungswesen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Sitz und Tätigkeit der Verwaltung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Bilanzen mit Gewinn- und Verlustrechnung der letzten drei
Jahre; Prüfungsvermerk, Bewertungen, Abschreibungen der letzten
fünf Jahre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Stichtag der letzten Betriebsprüfung durch Finanzamt (welche
Steuerarten?) und durch Sozialversicherungsträger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Abgabenerklärungen und Meldungen (vollständig, rechtzeitig und
richtig?)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Wo findet die Buchhaltung und die Fakturierung statt (im
Zielobjekt oder außer Haus?)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finanzbehördliche 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Gange befindliche finanzbehördliche Erhebungen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Beitrags- oder Steuerrückstände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Stundungen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Anlagen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Zustand des Anlagevermögens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Information über durchgeführte Wartungen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Sämtliche anlagenbezogene Genehmigungs- und
Bewilligungsbescheide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Inventar</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Fuhrpark</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betriebszugehörigen Kraftfahrzeuge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Servicebücher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Überprüfungsgutachten (§ 57a KFG)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Vignetten Pkw &amp; Lkw</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Schätzung</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Verträge des Zielobjektes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Lieferantenliste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Lieferverträge (die 20 wichtigsten Vereinbarungen)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20 größten Abnehmer und entsprechende
Abnehmerverträge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Produktliste, insbesondere Exportliste mit Preisen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Nationale oder internationale Vertriebsverträge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mit Ratenzahlungen oder langfristigen
Zahlungszielen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Langfristige 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Franchiseverträge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Software(überlassungs)verträge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Wartungsverträge über betriebliche Anlagen und Geräte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Beratungsverträge (Steuer-, Unternehmensberater)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Noch nicht erfüllte, aber rechtsgültig abgeschlossene
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Optionen Dritter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Handlungsvollmachten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Bestehende Handelsvertreterverträge mit oder ohne Gebiets-
und/oder Kundenschutz</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Garantieverträge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Serviceverträge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Vertragliche Verlängerung von Gewährleistungsfristen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Zivilrecht (allgemein)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Produkthaftungsfälle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betriebsintern bekannte oder wahrscheinliche Mängel
an Produkten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Gewährleistungsansprüche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Strittige, uneinbringliche, fällige/nicht fällige Forderungen,
Zessionen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Vorkaufsrechte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Nachbarschaftsstreitigkeiten und Prozesse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Gewährte Darlehen mit Bezug zum Betrieb</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Bankverbindungen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Lieferanten- oder sonstige Akkreditivgeschäfte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Bankverbindungen und Kreditverträge, aktuelle
Salden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Sicherheiten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Factoring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Zessionsvermerk in Geschäftsbüchern bzw
Buchhaltungssoftware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Erfolgte Drittschuldnerverständigungen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Eigentumsvorbehalte an den Assets (Maschinen, Anlagen,
Lagerbeständen etc)</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Pfandrechte an den Assets, insbesondere nach
Abgabenexekutionsordnung, Pfändungsprotokolle (Maschinen, Anlagen,
Lagerbestände etc)</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Sonstige Sicherheiten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Immaterialgüterrecht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von Marken, Mustern und Patenten der Gesellschaft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Markenverfahren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Musteranmeldungen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Patentverfahren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Werknutzungsrechte, Gebrauchsmuster</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Patente, Lizenzen, Markenlizenzrechte, Werknutzungsrechte
oder Gebrauchsmuster für den Betrieb (Produktion) erforderlich?
Wenn ja, welche?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Internationale oder europäische Gemeinschaftsmarken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nationale oder internationale Prozesse oder
vergleichbare Verfahren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Kartellrecht/Fusionskontrolle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Wettbewerbsrechtliche Vereinbarungen, anmeldepflichtig oder
nicht anmeldepflichtig</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Entscheidungen von Kartell- oder Fusionskontrollbehörden mit
Relevanz für den Betrieb</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Kartellverfahren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Vergaberecht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Vergabeverfahren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Strafrecht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Strafverfahren mit Bezug zum Betrieb</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abgeschlossene oder drohende Verfahren nach
VBVG</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Subventionen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Erhält/erhielt der betroffene Betrieb Subventionen? Durch
welche Gebietskörperschaften/Behörden? Details aus
Subventionsgewährung (Auflagen)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Versicherungen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Versicherungsverträge inklusive letztmaliger
Prämienerhöhungen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Aufstellung aller Betriebsrisiken ohne Versicherungsschutz</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Unterversicherte Risken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Ansprüche gegen Versicherungen (geltend gemachte Ansprüche,
anhängige oder drohende Prozesse)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Ansprüche von Versicherungen (Prämien, Rückforderung von
Versicherungsleistungen)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Verwaltungsrecht allgemein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Laufende behördliche Verfahren in Gewerbe-, Betriebsanlagen-,
Wasserrecht, umweltrechtlichen Angelegenheiten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Verwaltungs(straf)verfahren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Feuerpolizeiliche Bescheide, Auflagen und Bewilligungen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Sonstige behördliche Bewilligungen oder Beschränkungen: Natur-
und Landschaftsschutzgesetze der Länder, Forstgesetz,
Denkmalschutzgesetz, Altölgesetz, Abfallwirtschaftsgesetz,
Sonderabfallgesetz, Straßengesetze des Bundes und der Länder,
Strahlenschutzgesetz, Arbeitnehmerschutzgesetz, Smogalarmgesetz,
Eisenbahngesetz, Kesselgesetz, Dampfkesselbetriebsgesetz,
Luftfahrtgesetz, Umweltinformationsgesetz,
Umweltverträglichkeitsprüfungsgesetz, Berggesetz,
Elektrizitätswirtschaftsgesetz, Rohrleitungsgesetz,
Starkstromwegegesetz</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Verwaltungsstrafrecht</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Verwaltungsstrafverfahren mit Bezug zum Betrieb</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verwaltungsstrafrechtliche Vorerhebungen im Gange oder zu
erwarten?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Anhängige Verfahren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Verfahren im Allgemeinen, sofern sie in
direktem oder indirektem Zusammenhang mit dem Betrieb stehen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Vergleichsgespräche außerhalb von bestehenden Verfahren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Kassenverträge einer Arztpraxis</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Kassenverträge können nicht Gegenstand eines
Unternehmenskaufvertrages sein. Die Vergabe neuer Kassenverträge
obliegt ausschließlich dem jeweiligen Sozialversicherungsträger und
der Ärztekammer. Meistens ist der Käufer nur dann an der
Ordinationsübernahme interessiert, wenn er auch die Kassenverträge
erhält. Aus diesem Grund ist eine aufschiebende Bedingung im
Unternehmenskaufvertrag aufzunehmen.</w:t>
      </w:r>
    </w:p>
    <w:p>
      <w:pPr>
        <w:numPr>
          <w:ilvl w:val="0"/>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Datenschutz</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Wird eine Due Diligence durchgeführt, ist grundsätzlich zu
empfehlen, dass dem Erwerber in diesem Zuge personenbezogene Daten
zB von Lieferanten, Kunden und Mitarbeitern in anonymisierter Form
in einem Datenraum zur Verfügung gestellt werden. Dieser Vorgang
ist in datenschutzrechtlicher Hinsicht mangels Individualisierung
einer betroffenen Person unproblematisch. Darüber hinaus sind
entsprechend dem Grundsatz der Datensparsamkeit nur notwendige
Daten offen zu legen.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Kunden- oder Lieferantendaten offengelegt, kann dies im
Einzelfall nach Art 6 Abs 1 lit b, Abs 4 DSGVO
auch ohne die Einwilligung der Betroffenen ausnahmsweise zulässig
sein, wenn der neue Zweck mit dem ursprünglichen vereinbar ist.
Dies kann zB bei einer geplanten Fortführung des Unternehmens zu
bejahen sein, wenn es sich um wesentliche Vermögensgegenstände der
Zielgesellschaft handelt ohne deren Kenntnis eine Transaktion nicht
ordnungsgemäß vorgenommen werden könnte.</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negativen Folgen für die betroffenen Personen sind durch
technisch-organisatorische Maßnahmen (sichere Datenübertragung etc)
sowie durch die Vereinbarung von Geheimhaltungsvereinbarungen zu
minimieren.</w:t>
      </w:r>
    </w:p>
    <w:p>
      <w:pPr>
        <w:numPr>
          <w:ilvl w:val="1"/>
          <w:numId w:val="55617047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Patientendaten:</w:t>
      </w:r>
      <w:r>
        <w:rPr>
          <w:rFonts w:ascii="Arial" w:hAnsi="Arial" w:eastAsia="Arial" w:cs="Arial"/>
          <w:color w:val="000000"/>
          <w:sz w:val="20"/>
          <w:szCs w:val="20"/>
        </w:rPr>
        <w:t xml:space="preserve"> Gem § 51 Abs 4
Ärztegesetz ist der Kassenplanstellennachfolger bzw der
Ordinationsstättennachfolger verpflichtet, die Dokumentation von
seinem Vorgänger zu übernehmen und für die der Aufbewahrungspflicht
entsprechende Dauer aufzubewahren. Eine Einwilligung des Patienten
ist hierfür nicht notwendig. Eine Weiterverwendung der
Patientendaten ist nur zulässig, wenn der jeweilige Patient in die
Weiterverwendung eingewilligt hat. Daher muss der Erwerber bei
übernommenen Patienten vor Beginn der Behandlung fragen, ob in die
alte Patientenakte Einsicht genommen werden darf.</w:t>
      </w:r>
    </w:p>
    <w:p>
      <w:pPr>
        <w:widowControl w:val="on"/>
        <w:pBdr/>
        <w:spacing w:before="140" w:after="240" w:line="288" w:lineRule="auto"/>
        <w:ind w:left="0" w:right="0"/>
        <w:jc w:val="left"/>
      </w:pPr>
      <w:r>
        <w:rPr>
          <w:rFonts w:ascii="Arial" w:hAnsi="Arial" w:eastAsia="Arial" w:cs="Arial"/>
          <w:b/>
          <w:bCs/>
          <w:color w:val="000000"/>
          <w:sz w:val="20"/>
          <w:szCs w:val="20"/>
        </w:rPr>
        <w:t xml:space="preserve">Anmerkungen:</w:t>
      </w:r>
      <w:r>
        <w:rPr>
          <w:rFonts w:ascii="Arial" w:hAnsi="Arial" w:eastAsia="Arial" w:cs="Arial"/>
          <w:color w:val="000000"/>
          <w:sz w:val="20"/>
          <w:szCs w:val="20"/>
        </w:rPr>
        <w:br/>
        <w:t xml:space="preserve">Bei dieser Checkliste handelt es sich um eine allgemeine
Checkliste. Im Hinblick auf ein konkretes Zielobjekt ist die Liste
jedenfalls noch zu adaptieren.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170479">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256553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321260">
    <w:multiLevelType w:val="hybridMultilevel"/>
    <w:lvl w:ilvl="0" w:tplc="86008832">
      <w:start w:val="1"/>
      <w:numFmt w:val="decimal"/>
      <w:lvlText w:val="%1."/>
      <w:lvlJc w:val="left"/>
      <w:pPr>
        <w:ind w:left="720" w:hanging="360"/>
      </w:pPr>
    </w:lvl>
    <w:lvl w:ilvl="1" w:tplc="86008832" w:tentative="1">
      <w:start w:val="1"/>
      <w:numFmt w:val="lowerLetter"/>
      <w:lvlText w:val="%2."/>
      <w:lvlJc w:val="left"/>
      <w:pPr>
        <w:ind w:left="1440" w:hanging="360"/>
      </w:pPr>
    </w:lvl>
    <w:lvl w:ilvl="2" w:tplc="86008832" w:tentative="1">
      <w:start w:val="1"/>
      <w:numFmt w:val="lowerRoman"/>
      <w:lvlText w:val="%3."/>
      <w:lvlJc w:val="right"/>
      <w:pPr>
        <w:ind w:left="2160" w:hanging="180"/>
      </w:pPr>
    </w:lvl>
    <w:lvl w:ilvl="3" w:tplc="86008832" w:tentative="1">
      <w:start w:val="1"/>
      <w:numFmt w:val="decimal"/>
      <w:lvlText w:val="%4."/>
      <w:lvlJc w:val="left"/>
      <w:pPr>
        <w:ind w:left="2880" w:hanging="360"/>
      </w:pPr>
    </w:lvl>
    <w:lvl w:ilvl="4" w:tplc="86008832" w:tentative="1">
      <w:start w:val="1"/>
      <w:numFmt w:val="lowerLetter"/>
      <w:lvlText w:val="%5."/>
      <w:lvlJc w:val="left"/>
      <w:pPr>
        <w:ind w:left="3600" w:hanging="360"/>
      </w:pPr>
    </w:lvl>
    <w:lvl w:ilvl="5" w:tplc="86008832" w:tentative="1">
      <w:start w:val="1"/>
      <w:numFmt w:val="lowerRoman"/>
      <w:lvlText w:val="%6."/>
      <w:lvlJc w:val="right"/>
      <w:pPr>
        <w:ind w:left="4320" w:hanging="180"/>
      </w:pPr>
    </w:lvl>
    <w:lvl w:ilvl="6" w:tplc="86008832" w:tentative="1">
      <w:start w:val="1"/>
      <w:numFmt w:val="decimal"/>
      <w:lvlText w:val="%7."/>
      <w:lvlJc w:val="left"/>
      <w:pPr>
        <w:ind w:left="5040" w:hanging="360"/>
      </w:pPr>
    </w:lvl>
    <w:lvl w:ilvl="7" w:tplc="86008832" w:tentative="1">
      <w:start w:val="1"/>
      <w:numFmt w:val="lowerLetter"/>
      <w:lvlText w:val="%8."/>
      <w:lvlJc w:val="left"/>
      <w:pPr>
        <w:ind w:left="5760" w:hanging="360"/>
      </w:pPr>
    </w:lvl>
    <w:lvl w:ilvl="8" w:tplc="86008832" w:tentative="1">
      <w:start w:val="1"/>
      <w:numFmt w:val="lowerRoman"/>
      <w:lvlText w:val="%9."/>
      <w:lvlJc w:val="right"/>
      <w:pPr>
        <w:ind w:left="6480" w:hanging="180"/>
      </w:pPr>
    </w:lvl>
  </w:abstractNum>
  <w:abstractNum w:abstractNumId="77321259">
    <w:multiLevelType w:val="hybridMultilevel"/>
    <w:lvl w:ilvl="0" w:tplc="611669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321259">
    <w:abstractNumId w:val="77321259"/>
  </w:num>
  <w:num w:numId="77321260">
    <w:abstractNumId w:val="77321260"/>
  </w:num>
  <w:num w:numId="632565532">
    <w:abstractNumId w:val="632565532"/>
  </w:num>
  <w:num w:numId="556170479">
    <w:abstractNumId w:val="5561704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19217450" Type="http://schemas.openxmlformats.org/officeDocument/2006/relationships/numbering" Target="numbering.xml"/><Relationship Id="rId68707901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