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0322823" w:name="document"/>
    <w:bookmarkEnd w:id="40322823"/>
    <w:p/>
    <w:p>
      <w:pPr>
        <w:widowControl w:val="on"/>
        <w:pBdr/>
        <w:spacing w:before="0" w:after="280" w:line="240" w:lineRule="auto"/>
        <w:ind w:left="0" w:right="0"/>
        <w:jc w:val="left"/>
      </w:pPr>
      <w:r>
        <w:rPr>
          <w:rFonts w:ascii="Arial" w:hAnsi="Arial" w:eastAsia="Arial" w:cs="Arial"/>
          <w:color w:val="363A40"/>
          <w:sz w:val="24"/>
          <w:szCs w:val="24"/>
        </w:rPr>
        <w:t xml:space="preserve">Dokument-ID: 1015531 | Vera Noss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Vorvertrag</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Vorvertrag</w:t>
      </w:r>
    </w:p>
    <w:p>
      <w:pPr>
        <w:widowControl w:val="on"/>
        <w:pBdr/>
        <w:spacing w:before="140" w:after="240" w:line="288" w:lineRule="auto"/>
        <w:ind w:left="0" w:right="0"/>
        <w:jc w:val="center"/>
      </w:pPr>
      <w:r>
        <w:rPr>
          <w:rFonts w:ascii="Arial" w:hAnsi="Arial" w:eastAsia="Arial" w:cs="Arial"/>
          <w:color w:val="000000"/>
          <w:sz w:val="20"/>
          <w:szCs w:val="20"/>
        </w:rPr>
        <w:t xml:space="preserve">abgeschlossen zwischen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Gesundheits-GmbH, Gesundheitsstraße 34, 1010 Wien.</w:t>
            </w:r>
            <w:r>
              <w:rPr>
                <w:rFonts w:ascii="Arial" w:hAnsi="Arial" w:eastAsia="Arial" w:cs="Arial"/>
                <w:color w:val="000000"/>
                <w:position w:val="0"/>
                <w:sz w:val="20"/>
                <w:szCs w:val="20"/>
                <w:shd w:val="clear" w:color="auto" w:fill="FFFFFF"/>
              </w:rPr>
              <w:br/>
              <w:t xml:space="preserve">(in der Folge Verkäuferin genannt)</w:t>
            </w:r>
            <w:r>
              <w:rPr>
                <w:rFonts w:ascii="Arial" w:hAnsi="Arial" w:eastAsia="Arial" w:cs="Arial"/>
                <w:color w:val="000000"/>
                <w:position w:val="0"/>
                <w:sz w:val="20"/>
                <w:szCs w:val="20"/>
                <w:shd w:val="clear" w:color="auto" w:fill="FFFFFF"/>
              </w:rPr>
              <w:br/>
              <w:t xml:space="preserve">einerseits und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Jens Jung, geboren am 23.09.1987 wohnhaft in Jungstraße 1,
1180 Wien</w:t>
            </w:r>
            <w:r>
              <w:rPr>
                <w:rFonts w:ascii="Arial" w:hAnsi="Arial" w:eastAsia="Arial" w:cs="Arial"/>
                <w:color w:val="000000"/>
                <w:position w:val="0"/>
                <w:sz w:val="20"/>
                <w:szCs w:val="20"/>
                <w:shd w:val="clear" w:color="auto" w:fill="FFFFFF"/>
              </w:rPr>
              <w:br/>
              <w:t xml:space="preserve">(in der Folge Käufer genannt)</w:t>
            </w:r>
            <w:r>
              <w:rPr>
                <w:rFonts w:ascii="Arial" w:hAnsi="Arial" w:eastAsia="Arial" w:cs="Arial"/>
                <w:color w:val="000000"/>
                <w:position w:val="0"/>
                <w:sz w:val="20"/>
                <w:szCs w:val="20"/>
                <w:shd w:val="clear" w:color="auto" w:fill="FFFFFF"/>
              </w:rPr>
              <w:br/>
              <w:t xml:space="preserve">andererseits wie folgt: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Präambel</w:t>
      </w:r>
    </w:p>
    <w:p>
      <w:pPr>
        <w:widowControl w:val="on"/>
        <w:pBdr/>
        <w:spacing w:before="140" w:after="240" w:line="288" w:lineRule="auto"/>
        <w:ind w:left="0" w:right="0"/>
        <w:jc w:val="left"/>
      </w:pPr>
      <w:r>
        <w:rPr>
          <w:rFonts w:ascii="Arial" w:hAnsi="Arial" w:eastAsia="Arial" w:cs="Arial"/>
          <w:color w:val="000000"/>
          <w:sz w:val="20"/>
          <w:szCs w:val="20"/>
        </w:rPr>
        <w:t xml:space="preserve">Die Verkäuferin betreibt am Standort Gesundheitsstraße 34, 1010
Wien, eine Ordination in Form einer GmbH. Der Käufer ist seit 2015
in der Praxis als Vertretungsarzt tätig. Die Gesellschafter der
Gesundheits-GmbH werden voraussichtlich mit 31.12.2023 in den
Ruhestand eintreten. Aus diesem Grund soll die Arztpraxis nach
Maßgabe des vorliegenden Vorvertrages und des noch abzuschließenden
Hauptvertrages im Ganzen veräußert und übertragen werden. Der
Käufer beabsichtigt, dieses Unternehmen im Wege des Asset Deals zu
übernehmen, bestehend aus dem Inventar laut Liste Beilage ./1,
einschließlich sämtlicher Verträge mit Lieferanten, Patienten,
Dienstnehmern des Unternehmens, Leasingvereinbarungen, technischer
Ausstattung, und einem Mietvertrag. Voraussetzung für den Abschluss
des Hauptvertrages ist, dass der Käufer in die bestehenden
Kassenverträge sowie den Mietvertrag der Verkäuferin zu im
Wesentlichen gleichbleibenden Bedingungen eintreten kann.</w:t>
      </w:r>
    </w:p>
    <w:p>
      <w:pPr>
        <w:widowControl w:val="on"/>
        <w:pBdr/>
        <w:spacing w:before="140" w:after="240" w:line="288" w:lineRule="auto"/>
        <w:ind w:left="0" w:right="0"/>
        <w:jc w:val="left"/>
      </w:pPr>
      <w:r>
        <w:rPr>
          <w:rFonts w:ascii="Arial" w:hAnsi="Arial" w:eastAsia="Arial" w:cs="Arial"/>
          <w:color w:val="000000"/>
          <w:sz w:val="20"/>
          <w:szCs w:val="20"/>
        </w:rPr>
        <w:t xml:space="preserve">Im Hinblick darauf schließen die Vertragsteile nachstehenden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Vorvertrag</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 1 Vertragsgegenstand</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Verkäufer betreibt am Standort Gesundheitsstraße 34, 1010
Wien, eine Arztpraxis. Wirtschaftlicher Gegenstand dieses Vertrages
ist die von der Verkäuferin betriebene Arztpraxis bestehend
aus:</w:t>
            </w:r>
          </w:p>
          <w:p>
            <w:pPr>
              <w:numPr>
                <w:ilvl w:val="0"/>
                <w:numId w:val="24759402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Patientenstock und Patientenkartei</w:t>
            </w:r>
          </w:p>
          <w:p>
            <w:pPr>
              <w:numPr>
                <w:ilvl w:val="0"/>
                <w:numId w:val="24759402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Die gesamte Ordinationseinrichtung laut Inventarliste (Anlage
./1), die einen integrierenden Bestandteil dieses Vertrages
bildet</w:t>
            </w:r>
          </w:p>
          <w:p>
            <w:pPr>
              <w:numPr>
                <w:ilvl w:val="0"/>
                <w:numId w:val="24759402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Vertrag mit … betreffend die Festnetznummer …, wobei sich die
Verkäuferin in diesem Zusammenhang verpflichtet, allenfalls
notwendige Übertragungserklärungen zu unterfertigen</w:t>
            </w:r>
          </w:p>
          <w:p>
            <w:pPr>
              <w:numPr>
                <w:ilvl w:val="0"/>
                <w:numId w:val="24759402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Dienstverträge laut Anlage ./2</w:t>
            </w:r>
          </w:p>
          <w:p>
            <w:pPr>
              <w:numPr>
                <w:ilvl w:val="0"/>
                <w:numId w:val="24759402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EDV-Verträge (Anlage ./3)</w:t>
            </w:r>
          </w:p>
          <w:p>
            <w:pPr>
              <w:numPr>
                <w:ilvl w:val="0"/>
                <w:numId w:val="24759402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Software- und Wartungsvertrag (Anlage ./4 und 5)</w:t>
            </w:r>
          </w:p>
          <w:p>
            <w:pPr>
              <w:numPr>
                <w:ilvl w:val="0"/>
                <w:numId w:val="24759402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Mietrechte am Geschäftslokal Gesundheitsstraße 34, 1010 Wien
(Anlage ./6)</w:t>
            </w:r>
          </w:p>
          <w:p>
            <w:pPr>
              <w:numPr>
                <w:ilvl w:val="0"/>
                <w:numId w:val="24759402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Haftpflicht/Betriebsversicherungen (Anlage ./7)</w:t>
            </w:r>
          </w:p>
          <w:p>
            <w:pPr>
              <w:numPr>
                <w:ilvl w:val="0"/>
                <w:numId w:val="24759402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Corporate Identity</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Verkäuferin verpflichtet sich, vor dem Übernahmestichtag
eine ordnungsgemäße Wartung sämtlicher in der Arztpraxis
verwendeter Hard- und Software durchführen zu lassen und steht für
die erfolgreiche Durchführung des Updates/Services durch
unabhängige Professionisten ein.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Nicht vertragsgegenständlich sind der Kassenbestand sowie
Bankguthaben oder Schulden der Verkäuferin sowie allfällige offene
Honorarforderungen. Ebenso nicht vertragsgegenständlich sind
allfällige Ansprüche von Lieferanten oder Patienten der
Verkäuferin. Die bei der Vermieterin hinterlegte Kaution gilt mit
dem Kaufpreis als eingepreist und geht auf den Käufer über.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Verkäuferin sichert dem Käufer schon jetzt zu, dass bis zum
noch einvernehmlich festzusetzenden Übergabestichtag keine offenen
Verbindlichkeiten (insbesondere Eingangsrechnungen, Steuerschulden
oder Haftungsansprüche von Patienten) bestehen werden und
verpflichtet sich, allfällige Ansprüche solcher Art unverzüglich zu
bezahlen bzw über seine Haftpflichtversicherung zu regulieren. Die
Verkäuferin verpflichtet sich, den Käufer hinsichtlich allfälliger
zum Übergabestichtag bestehender Verpflichtungen aus Verträgen
(insbesondere Patienten-, Leasing-, Wartungs-,
Versicherungsverträge) oder aufgrund sonstiger haftungsbegründender
Umstände vollkommen schad- und klaglos zu halten.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Verkäuferin verpflichtet sich insbesondere auch, den Käufer
in Hinblick auf die vor dem Übergabestichtag begründeten Ansprüche
der Dienstnehmer (zB offene Urlaubsansprüche, offene
Abfertigungsansprüche, offene Gehaltsansprüche) sowie die damit in
Zusammenhang stehenden Lohnnebenkosten vollkommen schad- und
klaglos zu halten.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Käufer erklärt, den Vertragsgegenstand aus seiner
beruflichen Tätigkeit für die Verkäuferin zu kennen und sich über
ihn auch durch Einsichtnahme in die Bücher ausreichend informiert
zu haben.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Verkäuferin haftet dafür, dass die Gegenstände laut
Inventarliste Anlage ./1 ihr unbeschränktes Eigentum darstellen.
Die Verkäuferin leistet Gewähr für die Mangelfreiheit der in der
Ordination befindlichen medizinischen Geräte (wie insbesondere
Röntgengerät der Marke …, …) für die Dauer von 5 Jahren ab
Übernahmestichtag.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1.8</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Übrigen soll der Vertragsgegenstand mit allen Rechten und
Befugnissen übergeben werden, wie die Übergeberin diesen besessen
und benützt hat oder doch zu besitzen und zu benützen berechtigt
war.</w:t>
            </w:r>
          </w:p>
        </w:tc>
      </w:tr>
    </w:tbl>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 2 Kaufpreis</w:t>
      </w:r>
    </w:p>
    <w:p>
      <w:pPr>
        <w:widowControl w:val="on"/>
        <w:pBdr/>
        <w:spacing w:before="140" w:after="240" w:line="288" w:lineRule="auto"/>
        <w:ind w:left="0" w:right="0"/>
        <w:jc w:val="left"/>
      </w:pPr>
      <w:r>
        <w:rPr>
          <w:rFonts w:ascii="Arial" w:hAnsi="Arial" w:eastAsia="Arial" w:cs="Arial"/>
          <w:color w:val="000000"/>
          <w:sz w:val="20"/>
          <w:szCs w:val="20"/>
        </w:rPr>
        <w:t xml:space="preserve">Der Kaufpreis beträgt EUR … und ist vom Käufer binnen …
Tagen ab Unterzeichnung des Hauptvertrags auf das von der
Treuhänderin, der Dr. Thorsten Treu Rechtsanwälte GmbH zu
eröffnende Treuhandkonto zu überweisen.</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 3 Bindung an den
Vorvertrag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Verkäuferin verpflichtet sich einseitig, an die vorliegende
Vereinbarung bis zum … gebunden zu bleiben und den Hauptvertrag
abzuschließen, sobald sämtliche noch zu klärende Bedingungen
erfolgreich eingetreten sind und der Käufer erklärt, den
Hauptvertrag abschließen zu wollen.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Festgehalten wird, dass der Eintritt des Käufers in die
bestehenden Kassenverträge der Verkäuferin eine Bedingung für den
Abschluss des Hauptvertrages darstellt. Dasselbe gilt für den
Eintritt in den Mietvertrag zu im Wesentlichen gleichbleibenden
Bedingungen, wobei hinsichtlich der Höhe des Mietzinses lediglich
eine Indexanpassung akzeptiert wird.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Sofern die genannten Bedingungen nicht eintreten und der
Hauptvertrag daher nicht abgeschlossen werden kann, verpflichten
sich beide Parteien, die Vertragsverhandlungen wieder aufzunehmen.
Die Parteien werden sich bemühen, eine Einigung zu erzielen.</w:t>
            </w:r>
          </w:p>
        </w:tc>
      </w:tr>
    </w:tbl>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 4 Vertragserrichtung</w:t>
      </w:r>
    </w:p>
    <w:p>
      <w:pPr>
        <w:widowControl w:val="on"/>
        <w:pBdr/>
        <w:spacing w:before="140" w:after="240" w:line="288" w:lineRule="auto"/>
        <w:ind w:left="0" w:right="0"/>
        <w:jc w:val="left"/>
      </w:pPr>
      <w:r>
        <w:rPr>
          <w:rFonts w:ascii="Arial" w:hAnsi="Arial" w:eastAsia="Arial" w:cs="Arial"/>
          <w:color w:val="000000"/>
          <w:sz w:val="20"/>
          <w:szCs w:val="20"/>
        </w:rPr>
        <w:t xml:space="preserve">Sämtliche Kosten im Zusammenhang mit der Errichtung dieses
Vertrags werden – ebenso wie die Kosten der Treuhandschaft – von
der Verkäuferin und vom Käufer je zur Hälfte getragen. Die Kosten
der Errichtung des Hauptvertrages trägt der Käufer alleine.</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Dr. Herz &amp; Dr. Cor</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Dr. Jung</w:t>
      </w:r>
    </w:p>
    <w:p>
      <w:pPr>
        <w:widowControl w:val="on"/>
        <w:pBdr/>
        <w:spacing w:before="140" w:after="240" w:line="288" w:lineRule="auto"/>
        <w:ind w:left="0" w:right="0"/>
        <w:jc w:val="left"/>
      </w:pPr>
      <w:r>
        <w:rPr>
          <w:rFonts w:ascii="Arial" w:hAnsi="Arial" w:eastAsia="Arial" w:cs="Arial"/>
          <w:color w:val="000000"/>
          <w:sz w:val="20"/>
          <w:szCs w:val="20"/>
        </w:rPr>
        <w:t xml:space="preserve">7 Anlagen:</w:t>
      </w:r>
    </w:p>
    <w:p>
      <w:pPr>
        <w:numPr>
          <w:ilvl w:val="0"/>
          <w:numId w:val="5917879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Inventarliste (./1)</w:t>
      </w:r>
    </w:p>
    <w:p>
      <w:pPr>
        <w:numPr>
          <w:ilvl w:val="0"/>
          <w:numId w:val="5917879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Dienstverträge (./2)</w:t>
      </w:r>
    </w:p>
    <w:p>
      <w:pPr>
        <w:numPr>
          <w:ilvl w:val="0"/>
          <w:numId w:val="5917879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EDV-Verträge (./3)</w:t>
      </w:r>
    </w:p>
    <w:p>
      <w:pPr>
        <w:numPr>
          <w:ilvl w:val="0"/>
          <w:numId w:val="5917879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Software- und Wartungsvertrag (./4 und 5)</w:t>
      </w:r>
    </w:p>
    <w:p>
      <w:pPr>
        <w:numPr>
          <w:ilvl w:val="0"/>
          <w:numId w:val="5917879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Mietvertrag (./6)</w:t>
      </w:r>
    </w:p>
    <w:p>
      <w:pPr>
        <w:numPr>
          <w:ilvl w:val="0"/>
          <w:numId w:val="5917879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Haftpflicht/Betriebsversicherungsvertrag (./7)</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17879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4759402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1197205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0405977">
    <w:multiLevelType w:val="hybridMultilevel"/>
    <w:lvl w:ilvl="0" w:tplc="32719650">
      <w:start w:val="1"/>
      <w:numFmt w:val="decimal"/>
      <w:lvlText w:val="%1."/>
      <w:lvlJc w:val="left"/>
      <w:pPr>
        <w:ind w:left="720" w:hanging="360"/>
      </w:pPr>
    </w:lvl>
    <w:lvl w:ilvl="1" w:tplc="32719650" w:tentative="1">
      <w:start w:val="1"/>
      <w:numFmt w:val="lowerLetter"/>
      <w:lvlText w:val="%2."/>
      <w:lvlJc w:val="left"/>
      <w:pPr>
        <w:ind w:left="1440" w:hanging="360"/>
      </w:pPr>
    </w:lvl>
    <w:lvl w:ilvl="2" w:tplc="32719650" w:tentative="1">
      <w:start w:val="1"/>
      <w:numFmt w:val="lowerRoman"/>
      <w:lvlText w:val="%3."/>
      <w:lvlJc w:val="right"/>
      <w:pPr>
        <w:ind w:left="2160" w:hanging="180"/>
      </w:pPr>
    </w:lvl>
    <w:lvl w:ilvl="3" w:tplc="32719650" w:tentative="1">
      <w:start w:val="1"/>
      <w:numFmt w:val="decimal"/>
      <w:lvlText w:val="%4."/>
      <w:lvlJc w:val="left"/>
      <w:pPr>
        <w:ind w:left="2880" w:hanging="360"/>
      </w:pPr>
    </w:lvl>
    <w:lvl w:ilvl="4" w:tplc="32719650" w:tentative="1">
      <w:start w:val="1"/>
      <w:numFmt w:val="lowerLetter"/>
      <w:lvlText w:val="%5."/>
      <w:lvlJc w:val="left"/>
      <w:pPr>
        <w:ind w:left="3600" w:hanging="360"/>
      </w:pPr>
    </w:lvl>
    <w:lvl w:ilvl="5" w:tplc="32719650" w:tentative="1">
      <w:start w:val="1"/>
      <w:numFmt w:val="lowerRoman"/>
      <w:lvlText w:val="%6."/>
      <w:lvlJc w:val="right"/>
      <w:pPr>
        <w:ind w:left="4320" w:hanging="180"/>
      </w:pPr>
    </w:lvl>
    <w:lvl w:ilvl="6" w:tplc="32719650" w:tentative="1">
      <w:start w:val="1"/>
      <w:numFmt w:val="decimal"/>
      <w:lvlText w:val="%7."/>
      <w:lvlJc w:val="left"/>
      <w:pPr>
        <w:ind w:left="5040" w:hanging="360"/>
      </w:pPr>
    </w:lvl>
    <w:lvl w:ilvl="7" w:tplc="32719650" w:tentative="1">
      <w:start w:val="1"/>
      <w:numFmt w:val="lowerLetter"/>
      <w:lvlText w:val="%8."/>
      <w:lvlJc w:val="left"/>
      <w:pPr>
        <w:ind w:left="5760" w:hanging="360"/>
      </w:pPr>
    </w:lvl>
    <w:lvl w:ilvl="8" w:tplc="32719650" w:tentative="1">
      <w:start w:val="1"/>
      <w:numFmt w:val="lowerRoman"/>
      <w:lvlText w:val="%9."/>
      <w:lvlJc w:val="right"/>
      <w:pPr>
        <w:ind w:left="6480" w:hanging="180"/>
      </w:pPr>
    </w:lvl>
  </w:abstractNum>
  <w:abstractNum w:abstractNumId="50405976">
    <w:multiLevelType w:val="hybridMultilevel"/>
    <w:lvl w:ilvl="0" w:tplc="807574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405976">
    <w:abstractNumId w:val="50405976"/>
  </w:num>
  <w:num w:numId="50405977">
    <w:abstractNumId w:val="50405977"/>
  </w:num>
  <w:num w:numId="611972054">
    <w:abstractNumId w:val="611972054"/>
  </w:num>
  <w:num w:numId="247594026">
    <w:abstractNumId w:val="247594026"/>
  </w:num>
  <w:num w:numId="59178797">
    <w:abstractNumId w:val="5917879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25995191" Type="http://schemas.openxmlformats.org/officeDocument/2006/relationships/numbering" Target="numbering.xml"/><Relationship Id="rId66850188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