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2299454" w:name="document"/>
    <w:bookmarkEnd w:id="22299454"/>
    <w:p/>
    <w:p>
      <w:pPr>
        <w:widowControl w:val="on"/>
        <w:pBdr/>
        <w:spacing w:before="0" w:after="280" w:line="240" w:lineRule="auto"/>
        <w:ind w:left="0" w:right="0"/>
        <w:jc w:val="left"/>
      </w:pPr>
      <w:r>
        <w:rPr>
          <w:rFonts w:ascii="Arial" w:hAnsi="Arial" w:eastAsia="Arial" w:cs="Arial"/>
          <w:color w:val="363A40"/>
          <w:sz w:val="24"/>
          <w:szCs w:val="24"/>
        </w:rPr>
        <w:t xml:space="preserve">Dokument-ID: 1015545 | Vera Noss - Albert
Scherzer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Verständigung der Arbeitnehmer über den Betriebsübergang</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Verständigung</w:t>
      </w:r>
    </w:p>
    <w:p>
      <w:pPr>
        <w:widowControl w:val="on"/>
        <w:pBdr/>
        <w:spacing w:before="140" w:after="240" w:line="288" w:lineRule="auto"/>
        <w:ind w:left="0" w:right="0"/>
        <w:jc w:val="left"/>
      </w:pPr>
      <w:r>
        <w:rPr>
          <w:rFonts w:ascii="Arial" w:hAnsi="Arial" w:eastAsia="Arial" w:cs="Arial"/>
          <w:color w:val="000000"/>
          <w:sz w:val="20"/>
          <w:szCs w:val="20"/>
        </w:rPr>
        <w:t xml:space="preserve">von der beabsichtigten Veräußerung</w:t>
      </w:r>
      <w:r>
        <w:rPr>
          <w:rFonts w:ascii="Arial" w:hAnsi="Arial" w:eastAsia="Arial" w:cs="Arial"/>
          <w:color w:val="000000"/>
          <w:sz w:val="20"/>
          <w:szCs w:val="20"/>
        </w:rPr>
        <w:br/>
        <w:t xml:space="preserve">der Ordination an Dr. Jens Jung</w:t>
      </w:r>
    </w:p>
    <w:p>
      <w:pPr>
        <w:widowControl w:val="on"/>
        <w:pBdr/>
        <w:spacing w:before="140" w:after="240" w:line="288" w:lineRule="auto"/>
        <w:ind w:left="0" w:right="0"/>
        <w:jc w:val="left"/>
      </w:pPr>
      <w:r>
        <w:rPr>
          <w:rFonts w:ascii="Arial" w:hAnsi="Arial" w:eastAsia="Arial" w:cs="Arial"/>
          <w:color w:val="000000"/>
          <w:sz w:val="20"/>
          <w:szCs w:val="20"/>
        </w:rPr>
        <w:t xml:space="preserve">Sehr geehrte Damen und Herren!</w:t>
      </w:r>
    </w:p>
    <w:p>
      <w:pPr>
        <w:widowControl w:val="on"/>
        <w:pBdr/>
        <w:spacing w:before="140" w:after="240" w:line="288" w:lineRule="auto"/>
        <w:ind w:left="0" w:right="0"/>
        <w:jc w:val="left"/>
      </w:pPr>
      <w:r>
        <w:rPr>
          <w:rFonts w:ascii="Arial" w:hAnsi="Arial" w:eastAsia="Arial" w:cs="Arial"/>
          <w:color w:val="000000"/>
          <w:sz w:val="20"/>
          <w:szCs w:val="20"/>
        </w:rPr>
        <w:t xml:space="preserve">Die Gesundheits-GmbH steht derzeit in Verhandlungen über den aus
betriebswirtschaftlichen und strategischen Gründen geplanten
Verkauf der Arztpraxis an Dr. Jens Jung. Sollte es zu einer
Kaufeinigung kommen, die wahrscheinlich ist, so wird das
Unternehmen mit Stichtag … [Datum] auf Herrn Dr. Jens Jung
übertragen werden, der die Arztpraxis in Form eines
Einzelunternehmens weiterführen wird.</w:t>
      </w:r>
    </w:p>
    <w:p>
      <w:pPr>
        <w:widowControl w:val="on"/>
        <w:pBdr/>
        <w:spacing w:before="140" w:after="240" w:line="288" w:lineRule="auto"/>
        <w:ind w:left="0" w:right="0"/>
        <w:jc w:val="left"/>
      </w:pPr>
      <w:r>
        <w:rPr>
          <w:rFonts w:ascii="Arial" w:hAnsi="Arial" w:eastAsia="Arial" w:cs="Arial"/>
          <w:color w:val="000000"/>
          <w:sz w:val="20"/>
          <w:szCs w:val="20"/>
        </w:rPr>
        <w:t xml:space="preserve">Die Dienstverhältnisse sämtlicher Dienstnehmer werden dadurch
automatisch auf das von Dr. Jung betriebene Einzelunternehmen
übergehen. Ihre Rechte und Pflichten als Dienstnehmer werden
dadurch nicht beschränkt. Wir dürfen darauf hinweisen, dass auf die
Dienstverhältnisse auch nach dem in Aussicht genommenen
Betriebsübergang der Kollektivvertrag für … Anwendung finden
wird. Im Falle einer Einigung wird der Betriebsübergang
voraussichtlich am … [Datum] erfolgen. Rechtliche, wirtschaftliche
oder soziale Folgen für die Arbeitnehmer sind derzeit nicht
absehbar. Insgesamt wird folglich der Ausbau der Praxis angestrebt,
weshalb hinsichtlich Arbeitnehmer soweit keine negativ sich
auswirkenden Maßnahmen absehbar sind.</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Gesundheits-GmbH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Aushang: Diese Information kann auch durch Aushang an einer
geeigneten, für den Arbeitnehmer leicht zugänglichen Stelle im
Unternehmen oder Betrieb erfolgen.</w:t>
      </w:r>
    </w:p>
    <w:p>
      <w:pPr>
        <w:widowControl w:val="on"/>
        <w:pBdr/>
        <w:spacing w:before="140" w:after="240" w:line="288" w:lineRule="auto"/>
        <w:ind w:left="0" w:right="0"/>
        <w:jc w:val="left"/>
      </w:pPr>
      <w:r>
        <w:rPr>
          <w:rFonts w:ascii="Arial" w:hAnsi="Arial" w:eastAsia="Arial" w:cs="Arial"/>
          <w:color w:val="000000"/>
          <w:sz w:val="20"/>
          <w:szCs w:val="20"/>
        </w:rPr>
        <w:t xml:space="preserve">Abfertigung/Pension: Der Übergeber hat die betroffenen
Arbeitnehmer über die allenfalls vorgenommene Übertragung von
Sicherungsmitteln für Abfertigungs- oder Pensionsanwartschaften zu
informieren.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350226">
    <w:multiLevelType w:val="hybridMultilevel"/>
    <w:lvl w:ilvl="0" w:tplc="86946749">
      <w:start w:val="1"/>
      <w:numFmt w:val="decimal"/>
      <w:lvlText w:val="%1."/>
      <w:lvlJc w:val="left"/>
      <w:pPr>
        <w:ind w:left="720" w:hanging="360"/>
      </w:pPr>
    </w:lvl>
    <w:lvl w:ilvl="1" w:tplc="86946749" w:tentative="1">
      <w:start w:val="1"/>
      <w:numFmt w:val="lowerLetter"/>
      <w:lvlText w:val="%2."/>
      <w:lvlJc w:val="left"/>
      <w:pPr>
        <w:ind w:left="1440" w:hanging="360"/>
      </w:pPr>
    </w:lvl>
    <w:lvl w:ilvl="2" w:tplc="86946749" w:tentative="1">
      <w:start w:val="1"/>
      <w:numFmt w:val="lowerRoman"/>
      <w:lvlText w:val="%3."/>
      <w:lvlJc w:val="right"/>
      <w:pPr>
        <w:ind w:left="2160" w:hanging="180"/>
      </w:pPr>
    </w:lvl>
    <w:lvl w:ilvl="3" w:tplc="86946749" w:tentative="1">
      <w:start w:val="1"/>
      <w:numFmt w:val="decimal"/>
      <w:lvlText w:val="%4."/>
      <w:lvlJc w:val="left"/>
      <w:pPr>
        <w:ind w:left="2880" w:hanging="360"/>
      </w:pPr>
    </w:lvl>
    <w:lvl w:ilvl="4" w:tplc="86946749" w:tentative="1">
      <w:start w:val="1"/>
      <w:numFmt w:val="lowerLetter"/>
      <w:lvlText w:val="%5."/>
      <w:lvlJc w:val="left"/>
      <w:pPr>
        <w:ind w:left="3600" w:hanging="360"/>
      </w:pPr>
    </w:lvl>
    <w:lvl w:ilvl="5" w:tplc="86946749" w:tentative="1">
      <w:start w:val="1"/>
      <w:numFmt w:val="lowerRoman"/>
      <w:lvlText w:val="%6."/>
      <w:lvlJc w:val="right"/>
      <w:pPr>
        <w:ind w:left="4320" w:hanging="180"/>
      </w:pPr>
    </w:lvl>
    <w:lvl w:ilvl="6" w:tplc="86946749" w:tentative="1">
      <w:start w:val="1"/>
      <w:numFmt w:val="decimal"/>
      <w:lvlText w:val="%7."/>
      <w:lvlJc w:val="left"/>
      <w:pPr>
        <w:ind w:left="5040" w:hanging="360"/>
      </w:pPr>
    </w:lvl>
    <w:lvl w:ilvl="7" w:tplc="86946749" w:tentative="1">
      <w:start w:val="1"/>
      <w:numFmt w:val="lowerLetter"/>
      <w:lvlText w:val="%8."/>
      <w:lvlJc w:val="left"/>
      <w:pPr>
        <w:ind w:left="5760" w:hanging="360"/>
      </w:pPr>
    </w:lvl>
    <w:lvl w:ilvl="8" w:tplc="86946749" w:tentative="1">
      <w:start w:val="1"/>
      <w:numFmt w:val="lowerRoman"/>
      <w:lvlText w:val="%9."/>
      <w:lvlJc w:val="right"/>
      <w:pPr>
        <w:ind w:left="6480" w:hanging="180"/>
      </w:pPr>
    </w:lvl>
  </w:abstractNum>
  <w:abstractNum w:abstractNumId="58350225">
    <w:multiLevelType w:val="hybridMultilevel"/>
    <w:lvl w:ilvl="0" w:tplc="253241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350225">
    <w:abstractNumId w:val="58350225"/>
  </w:num>
  <w:num w:numId="58350226">
    <w:abstractNumId w:val="583502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96855815" Type="http://schemas.openxmlformats.org/officeDocument/2006/relationships/numbering" Target="numbering.xml"/><Relationship Id="rId50603707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