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10052803" w:name="document"/>
    <w:bookmarkEnd w:id="10052803"/>
    <w:p/>
    <w:p>
      <w:pPr>
        <w:widowControl w:val="on"/>
        <w:pBdr/>
        <w:spacing w:before="0" w:after="280" w:line="240" w:lineRule="auto"/>
        <w:ind w:left="0" w:right="0"/>
        <w:jc w:val="left"/>
      </w:pPr>
      <w:r>
        <w:rPr>
          <w:rFonts w:ascii="Arial" w:hAnsi="Arial" w:eastAsia="Arial" w:cs="Arial"/>
          <w:color w:val="363A40"/>
          <w:sz w:val="24"/>
          <w:szCs w:val="24"/>
        </w:rPr>
        <w:t xml:space="preserve">Dokument-ID: 1015531 | Vera Noss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Vorvertrag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Vorvertrag</w:t>
      </w:r>
    </w:p>
    <w:p>
      <w:pPr>
        <w:widowControl w:val="on"/>
        <w:pBdr/>
        <w:spacing w:before="140" w:after="240" w:line="288" w:lineRule="auto"/>
        <w:ind w:left="0" w:right="0"/>
        <w:jc w:val="center"/>
      </w:pPr>
      <w:r>
        <w:rPr>
          <w:rFonts w:ascii="Arial" w:hAnsi="Arial" w:eastAsia="Arial" w:cs="Arial"/>
          <w:color w:val="000000"/>
          <w:sz w:val="20"/>
          <w:szCs w:val="20"/>
        </w:rPr>
        <w:t xml:space="preserve">abgeschlossen zwischen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Gesundheits-GmbH, Gesundheitsstraße 34, 1010 Wien.</w:t>
            </w:r>
            <w:r>
              <w:rPr>
                <w:rFonts w:ascii="Arial" w:hAnsi="Arial" w:eastAsia="Arial" w:cs="Arial"/>
                <w:color w:val="000000"/>
                <w:position w:val="0"/>
                <w:sz w:val="20"/>
                <w:szCs w:val="20"/>
                <w:shd w:val="clear" w:color="auto" w:fill="FFFFFF"/>
              </w:rPr>
              <w:br/>
              <w:t xml:space="preserve">(in der Folge Verkäuferin genannt)</w:t>
            </w:r>
            <w:r>
              <w:rPr>
                <w:rFonts w:ascii="Arial" w:hAnsi="Arial" w:eastAsia="Arial" w:cs="Arial"/>
                <w:color w:val="000000"/>
                <w:position w:val="0"/>
                <w:sz w:val="20"/>
                <w:szCs w:val="20"/>
                <w:shd w:val="clear" w:color="auto" w:fill="FFFFFF"/>
              </w:rPr>
              <w:br/>
              <w:t xml:space="preserve">einerseits und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Jens Jung, geboren am 23.09.1987 wohnhaft in Jungstraße 1,
1180 Wien</w:t>
            </w:r>
            <w:r>
              <w:rPr>
                <w:rFonts w:ascii="Arial" w:hAnsi="Arial" w:eastAsia="Arial" w:cs="Arial"/>
                <w:color w:val="000000"/>
                <w:position w:val="0"/>
                <w:sz w:val="20"/>
                <w:szCs w:val="20"/>
                <w:shd w:val="clear" w:color="auto" w:fill="FFFFFF"/>
              </w:rPr>
              <w:br/>
              <w:t xml:space="preserve">(in der Folge Käufer genannt)</w:t>
            </w:r>
            <w:r>
              <w:rPr>
                <w:rFonts w:ascii="Arial" w:hAnsi="Arial" w:eastAsia="Arial" w:cs="Arial"/>
                <w:color w:val="000000"/>
                <w:position w:val="0"/>
                <w:sz w:val="20"/>
                <w:szCs w:val="20"/>
                <w:shd w:val="clear" w:color="auto" w:fill="FFFFFF"/>
              </w:rPr>
              <w:br/>
              <w:t xml:space="preserve">andererseits wie folgt: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Die Verkäuferin betreibt am Standort Gesundheitsstraße 34, 1010
Wien, eine Ordination in Form einer GmbH. Der Käufer ist seit 2015
in der Praxis als Vertretungsarzt tätig. Die Gesellschafter der
Gesundheits-GmbH werden voraussichtlich mit 31.12.2023 in den
Ruhestand eintreten. Aus diesem Grund soll die Arztpraxis nach
Maßgabe des vorliegenden Vorvertrages und des noch abzuschließenden
Hauptvertrages im Ganzen veräußert und übertragen werden. Der
Käufer beabsichtigt, dieses Unternehmen im Wege des Asset Deals zu
übernehmen, bestehend aus dem Inventar laut Liste Beilage ./1,
einschließlich sämtlicher Verträge mit Lieferanten, Patienten,
Dienstnehmern des Unternehmens, Leasingvereinbarungen, technischer
Ausstattung, und einem Mietvertrag. Voraussetzung für den Abschluss
des Hauptvertrages ist, dass der Käufer in die bestehenden
Kassenverträge sowie den Mietvertrag der Verkäuferin zu im
Wesentlichen gleichbleibenden Bedingungen eintreten kann.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schließen die Vertragsteile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Vorvertrag</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1 Vertragsgegenstand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Verkäufer betreibt am Standort Gesundheitsstraße 34, 1010
Wien, eine Arztpraxis. Wirtschaftlicher Gegenstand dieses Vertrages
ist die von der Verkäuferin betriebene Arztpraxis bestehend
aus:</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Patientenstock und Patientenkartei</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gesamte Ordinationseinrichtung laut Inventarliste (Anlage
./1), die einen integrierenden Bestandteil dieses Vertrages
bildet</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Vertrag mit … betreffend die Festnetznummer …, wobei sich die
Verkäuferin in diesem Zusammenhang verpflichtet, allenfalls
notwendige Übertragungserklärungen zu unterfertigen</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Dienstverträge laut Anlage ./2</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EDV-Verträge (Anlage ./3)</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Software- und Wartungsvertrag (Anlage ./4 und 5)</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Mietrechte am Geschäftslokal Gesundheitsstraße 34, 1010 Wien
(Anlage ./6)</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Haftpflicht/Betriebsversicherungen (Anlage ./7)</w:t>
            </w:r>
          </w:p>
          <w:p>
            <w:pPr>
              <w:numPr>
                <w:ilvl w:val="0"/>
                <w:numId w:val="40313972"/>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Corporate Identity</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vor dem Übernahmestichtag
eine ordnungsgemäße Wartung sämtlicher in der Arztpraxis
verwendeter Hard- und Software durchführen zu lassen und steht für
die erfolgreiche Durchführung des Updates/Services durch
unabhängige Professionisten ein.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Nicht vertragsgegenständlich sind der Kassenbestand sowie
Bankguthaben oder Schulden der Verkäuferin sowie allfällige offene
Honorarforderungen. Ebenso nicht vertragsgegenständlich sind
allfällige Ansprüche von Lieferanten oder Patienten der
Verkäuferin. Die bei der Vermieterin hinterlegte Kaution gilt mit
dem Kaufpreis als eingepreist und geht auf den Käufer über.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sichert dem Käufer schon jetzt zu, dass bis zum
noch einvernehmlich festzusetzenden Übergabestichtag keine offenen
Verbindlichkeiten (insbesondere Eingangsrechnungen, Steuerschulden
oder Haftungsansprüche von Patienten) bestehen werden und
verpflichtet sich, allfällige Ansprüche solcher Art unverzüglich zu
bezahlen bzw über seine Haftpflichtversicherung zu regulieren. Die
Verkäuferin verpflichtet sich, den Käufer hinsichtlich allfälliger
zum Übergabestichtag bestehender Verpflichtungen aus Verträgen
(insbesondere Patienten-, Leasing-, Wartungs-,
Versicherungsverträge) oder aufgrund sonstiger haftungsbegründender
Umstände vollkommen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insbesondere auch, den Käufer
in Hinblick auf die vor dem Übergabestichtag begründeten Ansprüche
der Dienstnehmer (zB offene Urlaubsansprüche, offene
Abfertigungsansprüche, offene Gehaltsansprüche) sowie die damit in
Zusammenhang stehenden Lohnnebenkosten vollkommen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Käufer erklärt, den Vertragsgegenstand aus seiner
beruflichen Tätigkeit für die Verkäuferin zu kennen und sich über
ihn auch durch Einsichtnahme in die Bücher ausreichend informiert
zu haben.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haftet dafür, dass die Gegenstände laut
Inventarliste Anlage ./1 ihr unbeschränktes Eigentum darstellen.
Die Verkäuferin leistet Gewähr für die Mangelfreiheit der in der
Ordination befindlichen medizinischen Geräte (wie insbesondere
Röntgengerät der Marke …, …) für die Dauer von 5 Jahren ab
Übernahmestichtag.</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1.8</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Im Übrigen soll der Vertragsgegenstand mit allen Rechten und
Befugnissen übergeben werden, wie die Übergeberin diesen besessen
und benützt hat oder doch zu besitzen und zu benützen berechtigt
war.</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2 Kaufpreis</w:t>
      </w:r>
    </w:p>
    <w:p>
      <w:pPr>
        <w:widowControl w:val="on"/>
        <w:pBdr/>
        <w:spacing w:before="140" w:after="240" w:line="288" w:lineRule="auto"/>
        <w:ind w:left="0" w:right="0"/>
        <w:jc w:val="left"/>
      </w:pPr>
      <w:r>
        <w:rPr>
          <w:rFonts w:ascii="Arial" w:hAnsi="Arial" w:eastAsia="Arial" w:cs="Arial"/>
          <w:color w:val="000000"/>
          <w:sz w:val="20"/>
          <w:szCs w:val="20"/>
        </w:rPr>
        <w:t xml:space="preserve">Der Kaufpreis beträgt EUR … und ist vom Käufer binnen …
Tagen ab Unterzeichnung des Hauptvertrags auf das von der
Treuhänderin, der Dr. Thorsten Treu Rechtsanwälte GmbH zu
eröffnende Treuhandkonto zu überweisen.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3 Bindung an den
Vorvertrag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Verkäuferin verpflichtet sich einseitig, an die vorliegende
Vereinbarung bis zum … gebunden zu bleiben und den Hauptvertrag
abzuschließen, sobald sämtliche noch zu klärende Bedingungen
erfolgreich eingetreten sind und der Käufer erklärt, den
Hauptvertrag abschließen zu wollen.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Festgehalten wird, dass der Eintritt des Käufers in die
bestehenden Kassenverträge der Verkäuferin eine Bedingung für den
Abschluss des Hauptvertrages darstellt. Dasselbe gilt für den
Eintritt in den Mietvertrag zu im Wesentlichen gleichbleibenden
Bedingungen, wobei hinsichtlich der Höhe des Mietzinses lediglich
eine Indexanpassung akzeptiert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Sofern die genannten Bedingungen nicht eintreten und der
Hauptvertrag daher nicht abgeschlossen werden kann, verpflichten
sich beide Parteien, die Vertragsverhandlungen wieder aufzunehmen.
Die Parteien werden sich bemühen, eine Einigung zu erzielen.</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 4 Vertragserrichtung</w:t>
      </w:r>
    </w:p>
    <w:p>
      <w:pPr>
        <w:widowControl w:val="on"/>
        <w:pBdr/>
        <w:spacing w:before="140" w:after="240" w:line="288" w:lineRule="auto"/>
        <w:ind w:left="0" w:right="0"/>
        <w:jc w:val="left"/>
      </w:pPr>
      <w:r>
        <w:rPr>
          <w:rFonts w:ascii="Arial" w:hAnsi="Arial" w:eastAsia="Arial" w:cs="Arial"/>
          <w:color w:val="000000"/>
          <w:sz w:val="20"/>
          <w:szCs w:val="20"/>
        </w:rPr>
        <w:t xml:space="preserve">Sämtliche Kosten im Zusammenhang mit der Errichtung dieses
Vertrags werden – ebenso wie die Kosten der Treuhandschaft – von
der Verkäuferin und vom Käufer je zur Hälfte getragen. Die Kosten
der Errichtung des Hauptvertrages trägt der Käufer alleine.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Herz &amp; Dr. Cor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Jung</w:t>
      </w:r>
    </w:p>
    <w:p>
      <w:pPr>
        <w:widowControl w:val="on"/>
        <w:pBdr/>
        <w:spacing w:before="140" w:after="240" w:line="288" w:lineRule="auto"/>
        <w:ind w:left="0" w:right="0"/>
        <w:jc w:val="left"/>
      </w:pPr>
      <w:r>
        <w:rPr>
          <w:rFonts w:ascii="Arial" w:hAnsi="Arial" w:eastAsia="Arial" w:cs="Arial"/>
          <w:color w:val="000000"/>
          <w:sz w:val="20"/>
          <w:szCs w:val="20"/>
        </w:rPr>
        <w:t xml:space="preserve">7 Anlagen:</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Inventarliste (./1)</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Dienstverträge (./2)</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EDV-Verträge (./3)</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Software- und Wartungsvertrag (./4 und 5)</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Mietvertrag (./6)</w:t>
      </w:r>
    </w:p>
    <w:p>
      <w:pPr>
        <w:numPr>
          <w:ilvl w:val="0"/>
          <w:numId w:val="65985515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Haftpflicht/Betriebsversicherungsvertrag (./7)</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985515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031397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5843389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4982441">
    <w:multiLevelType w:val="hybridMultilevel"/>
    <w:lvl w:ilvl="0" w:tplc="72332690">
      <w:start w:val="1"/>
      <w:numFmt w:val="decimal"/>
      <w:lvlText w:val="%1."/>
      <w:lvlJc w:val="left"/>
      <w:pPr>
        <w:ind w:left="720" w:hanging="360"/>
      </w:pPr>
    </w:lvl>
    <w:lvl w:ilvl="1" w:tplc="72332690" w:tentative="1">
      <w:start w:val="1"/>
      <w:numFmt w:val="lowerLetter"/>
      <w:lvlText w:val="%2."/>
      <w:lvlJc w:val="left"/>
      <w:pPr>
        <w:ind w:left="1440" w:hanging="360"/>
      </w:pPr>
    </w:lvl>
    <w:lvl w:ilvl="2" w:tplc="72332690" w:tentative="1">
      <w:start w:val="1"/>
      <w:numFmt w:val="lowerRoman"/>
      <w:lvlText w:val="%3."/>
      <w:lvlJc w:val="right"/>
      <w:pPr>
        <w:ind w:left="2160" w:hanging="180"/>
      </w:pPr>
    </w:lvl>
    <w:lvl w:ilvl="3" w:tplc="72332690" w:tentative="1">
      <w:start w:val="1"/>
      <w:numFmt w:val="decimal"/>
      <w:lvlText w:val="%4."/>
      <w:lvlJc w:val="left"/>
      <w:pPr>
        <w:ind w:left="2880" w:hanging="360"/>
      </w:pPr>
    </w:lvl>
    <w:lvl w:ilvl="4" w:tplc="72332690" w:tentative="1">
      <w:start w:val="1"/>
      <w:numFmt w:val="lowerLetter"/>
      <w:lvlText w:val="%5."/>
      <w:lvlJc w:val="left"/>
      <w:pPr>
        <w:ind w:left="3600" w:hanging="360"/>
      </w:pPr>
    </w:lvl>
    <w:lvl w:ilvl="5" w:tplc="72332690" w:tentative="1">
      <w:start w:val="1"/>
      <w:numFmt w:val="lowerRoman"/>
      <w:lvlText w:val="%6."/>
      <w:lvlJc w:val="right"/>
      <w:pPr>
        <w:ind w:left="4320" w:hanging="180"/>
      </w:pPr>
    </w:lvl>
    <w:lvl w:ilvl="6" w:tplc="72332690" w:tentative="1">
      <w:start w:val="1"/>
      <w:numFmt w:val="decimal"/>
      <w:lvlText w:val="%7."/>
      <w:lvlJc w:val="left"/>
      <w:pPr>
        <w:ind w:left="5040" w:hanging="360"/>
      </w:pPr>
    </w:lvl>
    <w:lvl w:ilvl="7" w:tplc="72332690" w:tentative="1">
      <w:start w:val="1"/>
      <w:numFmt w:val="lowerLetter"/>
      <w:lvlText w:val="%8."/>
      <w:lvlJc w:val="left"/>
      <w:pPr>
        <w:ind w:left="5760" w:hanging="360"/>
      </w:pPr>
    </w:lvl>
    <w:lvl w:ilvl="8" w:tplc="72332690" w:tentative="1">
      <w:start w:val="1"/>
      <w:numFmt w:val="lowerRoman"/>
      <w:lvlText w:val="%9."/>
      <w:lvlJc w:val="right"/>
      <w:pPr>
        <w:ind w:left="6480" w:hanging="180"/>
      </w:pPr>
    </w:lvl>
  </w:abstractNum>
  <w:abstractNum w:abstractNumId="34982440">
    <w:multiLevelType w:val="hybridMultilevel"/>
    <w:lvl w:ilvl="0" w:tplc="970891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982440">
    <w:abstractNumId w:val="34982440"/>
  </w:num>
  <w:num w:numId="34982441">
    <w:abstractNumId w:val="34982441"/>
  </w:num>
  <w:num w:numId="558433895">
    <w:abstractNumId w:val="558433895"/>
  </w:num>
  <w:num w:numId="40313972">
    <w:abstractNumId w:val="40313972"/>
  </w:num>
  <w:num w:numId="659855159">
    <w:abstractNumId w:val="6598551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378542853" Type="http://schemas.openxmlformats.org/officeDocument/2006/relationships/numbering" Target="numbering.xml"/><Relationship Id="rId904355507"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