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1306329" w:name="document"/>
    <w:bookmarkEnd w:id="91306329"/>
    <w:p/>
    <w:p>
      <w:pPr>
        <w:widowControl w:val="on"/>
        <w:pBdr/>
        <w:spacing w:before="0" w:after="280" w:line="240" w:lineRule="auto"/>
        <w:ind w:left="0" w:right="0"/>
        <w:jc w:val="left"/>
      </w:pPr>
      <w:r>
        <w:rPr>
          <w:rFonts w:ascii="Arial" w:hAnsi="Arial" w:eastAsia="Arial" w:cs="Arial"/>
          <w:color w:val="363A40"/>
          <w:sz w:val="24"/>
          <w:szCs w:val="24"/>
        </w:rPr>
        <w:t xml:space="preserve">Dokument-ID: 976083 | Andrea Futterknecht |
Muster |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Umwandlung GmbH auf Personengesellschaft – Steuerrecht</w:t>
      </w:r>
    </w:p>
    <w:p>
      <w:pPr>
        <w:numPr>
          <w:ilvl w:val="0"/>
          <w:numId w:val="79112911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Rechtsgrundlage: Art II UmgrStG
(§§ 7–11)</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Unter das Umgründungssteuergesetz fallen errichtende
Umwandlungen nach dem Umwandlungsgesetz, wenn am
Umwandlungsstichtag und am Tag des Umwandlungsbeschlusses ein
Betrieb vorhanden ist.</w:t>
      </w:r>
    </w:p>
    <w:p>
      <w:pPr>
        <w:numPr>
          <w:ilvl w:val="0"/>
          <w:numId w:val="79112911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Übertragende Körperschaft</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der Ermittlung des Gewinnes ist für das mit dem
Umwandlungsstichtag endende Wirtschaftsjahr das Betriebsvermögen
mit dem Wert anzusetzen, der sich nach den steuerrechtlichen
Vorschriften über die Gewinnermittlung ergibt.</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Einkommen ist so zu ermitteln, als ob der Vermögensübergang
mit Ablauf des Umwandlungsstichtages erfolgt wäre. Dies gilt nicht
für Gewinnausschüttungen der übertragenden Körperschaft aufgrund
von Beschlüssen nach dem Umwandlungsstichtag sowie für die
Einlagenrückzahlung iSd § 4 Abs 12 EStG durch die
übertragende Körperschaft und Einlagen iSd § 8 Abs 1
KöStG in die übertragende Körperschaft in der Zeit zwischen dem
Umwandlungsstichtag und dem Tag des Umwandlungsbeschlusses.</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Umwandlungsstichtag ist der Tag, zu dem die Schlussbilanz
aufgestellt ist, die der Umwandlung zugrunde gelegt wird. Zum
Umwandlungsstichtag ist weiters eine Umwandlungsbilanz
aufzustellen, in der die steuerlich maßgebenden Buchwerte oder
Werte und das sich daraus ergebende Umwandlungskapital unter
Berücksichtigung nachträglicher Veränderungen darzustellen
sind.</w:t>
      </w:r>
    </w:p>
    <w:p>
      <w:pPr>
        <w:numPr>
          <w:ilvl w:val="0"/>
          <w:numId w:val="79112911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Für die Rechtsnachfolger (= die Gesellschafter der
errichteten Personengesellschaft) gilt insbesondere
Folgendes</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Sie haben die zum Umwandlungsstichtag maßgebenden Buchwerte iSd
§ 8 UmgrStG fortzuführen.</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Buchgewinne und Buchverluste ist § 3 Abs 2 und 3
UmgrStG anzuwenden, das heißt Buchgewinne und Buchverluste bleiben
bei der Gewinnermittlung außer Ansatz und unabhängig vom Vorliegen
eines Buchgewinnes oder -verlustes sind Veränderungen des
Betriebsvermögens, die aus der Vereinigung von Aktiven und Passiven
(Confusio) stammen, in dem dem Verschmelzungsstichtag folgenden
Wirtschaftsjahr zu berücksichtigen. Dies gilt sinngemäß auch für
Umwandlungsgewinne und Umwandlungsverluste in Bezug auf die
Anschaffungskosten von außerbetrieblich gehaltenen Anteilen an der
übertragenen Körperschaft.</w:t>
      </w:r>
    </w:p>
    <w:p>
      <w:pPr>
        <w:numPr>
          <w:ilvl w:val="0"/>
          <w:numId w:val="79112911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Zusammenfassung der Rechtsfolgen</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Unter Anwendung der Bestimmungen des Umgründungsteuerrechtes
(Art II) erfolgt der Rechtsformwechsel grundsätzlich
ertragsteuerneutral.</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Dies gilt auf Ebene der Gesellschaft (§ 8 Abs 1
UmgrStG) mit der Ausnahme im Hinblick auf einen etwaigen
Auslandsbezug (§ 8 Abs 2 UmgrStG).</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Dies gilt auch auf Ebene der Gesellschafter; die Wertdifferenz
zwischen den untergehenden Kapitalanteilen und dem übernommenen
steuerlichen Eigenkapital des Mitunternehmeranteils ist
steuerneutral.</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sind ergänzend jedoch nachfolgende Sonderthemen zu
berücksichtigen:</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Gewinnausschüttungsfiktion</w:t>
      </w:r>
      <w:r>
        <w:rPr>
          <w:rFonts w:ascii="Arial" w:hAnsi="Arial" w:eastAsia="Arial" w:cs="Arial"/>
          <w:color w:val="000000"/>
          <w:sz w:val="20"/>
          <w:szCs w:val="20"/>
        </w:rPr>
        <w:t xml:space="preserve"> § 9 Abs 6
UmgrStG: Die Differenz von Reinvermögen laut Umwandlungsbilanz und
Nennkapital (zuzüglich Einlagen iSv § 4 Abs 12 EStG) gilt
mit dem Tag der Anmeldung des Umwandlungsbeschlusses in das
Firmenbuch als ausgeschüttet. Die einbehaltenen Gewinne der
Vergangenheit (die bislang steuerlich bloß auf Ebene der GmbH
erfasst worden sind) werden damit auf Ebene der Gesellschafter als
Ausschüttung erfasst.</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Vereinnahmungsfiktion</w:t>
      </w:r>
      <w:r>
        <w:rPr>
          <w:rFonts w:ascii="Arial" w:hAnsi="Arial" w:eastAsia="Arial" w:cs="Arial"/>
          <w:color w:val="000000"/>
          <w:sz w:val="20"/>
          <w:szCs w:val="20"/>
        </w:rPr>
        <w:t xml:space="preserve"> aus Leistungsbeziehungen
§ 9 Abs 5 UmgrStG: Sofern Forderungen oder
Verbindlichkeiten eines Anteilsinhabers aus Leistungsbeziehungen
mit der übertragenden Körperschaft bestehen (zB Miet- oder
Zinsrückstände, Geschäftsführertätigkeit), gelten diese mit dem
Zeitpunkt der Anmeldung des Umwandlungsbeschlusses beim Firmenbuch
als vereinnahmt oder verausgabt. Auch dieser Punkt sollte
ausschließen, dass es zu Besteuerungslücken kommt.</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Wurde eine </w:t>
      </w:r>
      <w:r>
        <w:rPr>
          <w:rFonts w:ascii="Arial" w:hAnsi="Arial" w:eastAsia="Arial" w:cs="Arial"/>
          <w:b/>
          <w:bCs/>
          <w:color w:val="000000"/>
          <w:sz w:val="20"/>
          <w:szCs w:val="20"/>
        </w:rPr>
        <w:t xml:space="preserve">Kapitalerhöhung aus
Gesellschaftsmitteln</w:t>
      </w:r>
      <w:r>
        <w:rPr>
          <w:rFonts w:ascii="Arial" w:hAnsi="Arial" w:eastAsia="Arial" w:cs="Arial"/>
          <w:color w:val="000000"/>
          <w:sz w:val="20"/>
          <w:szCs w:val="20"/>
        </w:rPr>
        <w:t xml:space="preserve"> vor der Umwandlung durchgeführt, gilt
der Betrag mit dem Tag der Anmeldung aufgrund einer
Kapitalherabsetzung als zurückbezahlt, wenn die 10 Jahresfrist
gem § 32 Z 3 EStG noch nicht abgelaufen ist.</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Entstehung von </w:t>
      </w:r>
      <w:r>
        <w:rPr>
          <w:rFonts w:ascii="Arial" w:hAnsi="Arial" w:eastAsia="Arial" w:cs="Arial"/>
          <w:b/>
          <w:bCs/>
          <w:color w:val="000000"/>
          <w:sz w:val="20"/>
          <w:szCs w:val="20"/>
        </w:rPr>
        <w:t xml:space="preserve">Sonderbetriebsvermögen</w:t>
      </w:r>
      <w:r>
        <w:rPr>
          <w:rFonts w:ascii="Arial" w:hAnsi="Arial" w:eastAsia="Arial" w:cs="Arial"/>
          <w:color w:val="000000"/>
          <w:sz w:val="20"/>
          <w:szCs w:val="20"/>
        </w:rPr>
        <w:t xml:space="preserve">: Häufig
entsteht aus der Umwandlung in eine Personengesellschaft
Sonderbetriebsvermögen, weil zB bislang im Privatvermögen stehende
Wirtschaftsgüter der GmbH zur Verfügung gestellt worden sind oder
Bankverbindlichkeiten bestehen, weil die Anschaffung der
GmbH-Anteils fremdfinanziert worden ist. Solche Wirtschaftsgüter
gelten als mit dem Umwandlungsstichtag als Einlagen in das
Sonderbetriebsvermögen und sind nach § 6 Abs 5 EStG zu
bewerten.</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Berücksichtigung der Bestimmungen zu Entstehen oder Untergang
einer internationalen Schachtelbeteiligung (§ 10 Abs 2
KStG) gem § 9 Abs 4 UmgrStG</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Verlustverwertung:</w:t>
      </w:r>
      <w:r>
        <w:rPr>
          <w:rFonts w:ascii="Arial" w:hAnsi="Arial" w:eastAsia="Arial" w:cs="Arial"/>
          <w:color w:val="000000"/>
          <w:sz w:val="20"/>
          <w:szCs w:val="20"/>
        </w:rPr>
        <w:t xml:space="preserve"> Grundsatz des Überganges
des Verlustes auf die Rechtsnachfolger im Ausmaß von deren
Beteiligungshöhe nach den allgemeinen Regeln des UmgrStG (Grundsatz
der objektbezogenen Verlustvortragsverwertung)</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Ausnahmetatbestände zu diesem Verlustübergang (§ 10
Z 1 lit c UmgrStG) sind jedoch im Einzelfall zu
überprüfen; diese sollen vor allem verhindern, dass nur Verluste
übergehen, die während des Bestehens der gesellschaftsrechtlichen
Verbindung entstanden sind.</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Anrechnung von entrichteter
</w:t>
      </w:r>
      <w:r>
        <w:rPr>
          <w:rFonts w:ascii="Arial" w:hAnsi="Arial" w:eastAsia="Arial" w:cs="Arial"/>
          <w:b/>
          <w:bCs/>
          <w:color w:val="000000"/>
          <w:sz w:val="20"/>
          <w:szCs w:val="20"/>
        </w:rPr>
        <w:t xml:space="preserve">Mindestkörperschaftsteuer</w:t>
      </w:r>
      <w:r>
        <w:rPr>
          <w:rFonts w:ascii="Arial" w:hAnsi="Arial" w:eastAsia="Arial" w:cs="Arial"/>
          <w:color w:val="000000"/>
          <w:sz w:val="20"/>
          <w:szCs w:val="20"/>
        </w:rPr>
        <w:t xml:space="preserve"> auf die Rechtsnachfolger
(§ 9 Abs 8 UmgrStG)</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Dienstverhältnisse von Gesellschafter-Geschäftsführern bleiben
bis zum Erlöschen der übertragenden Körperschaft bestehen. Nach
Umwandlung werden diese Rechtsverhältnisse nicht mehr
ertragsteuerlich anerkannt (§ 23 Abs 2 EStG); die bislang
für Gesellschafter-Geschäftsführer gebildeten Abfertigungs- und
Pensionsrückstellungen sind entsprechend der hM ertragssteuerlich
aufzulösen und nachzuversteuern; auf Antrag besteht die Möglichkeit
der Verteilung auf 3 Jahre.</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übrigen steuerlichen Begünstigungen des
Umgründungssteuerrechtes im Bereich von Gebühren und
Verkehrssteuern sind auch auf Umwandlungen anzuwenden, das heißt
insbesondere:</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Umwandlungen nach § 7 UmgrStG gelten nicht als steuerbare
Umsätze im Sinne des Umsatzsteuergesetzes 1994; die
Rechtsnachfolger treten für den Bereich der
</w:t>
      </w:r>
      <w:r>
        <w:rPr>
          <w:rFonts w:ascii="Arial" w:hAnsi="Arial" w:eastAsia="Arial" w:cs="Arial"/>
          <w:b/>
          <w:bCs/>
          <w:color w:val="000000"/>
          <w:sz w:val="20"/>
          <w:szCs w:val="20"/>
        </w:rPr>
        <w:t xml:space="preserve">Umsatzsteuer</w:t>
      </w:r>
      <w:r>
        <w:rPr>
          <w:rFonts w:ascii="Arial" w:hAnsi="Arial" w:eastAsia="Arial" w:cs="Arial"/>
          <w:color w:val="000000"/>
          <w:sz w:val="20"/>
          <w:szCs w:val="20"/>
        </w:rPr>
        <w:t xml:space="preserve"> unmittelbar in die Rechtsstellung der
übertragenden Körperschaft.</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Umwandlungen nach § 7 UmgrStG sind von den
</w:t>
      </w:r>
      <w:r>
        <w:rPr>
          <w:rFonts w:ascii="Arial" w:hAnsi="Arial" w:eastAsia="Arial" w:cs="Arial"/>
          <w:b/>
          <w:bCs/>
          <w:color w:val="000000"/>
          <w:sz w:val="20"/>
          <w:szCs w:val="20"/>
        </w:rPr>
        <w:t xml:space="preserve">Kapitalverkehrsteuern</w:t>
      </w:r>
      <w:r>
        <w:rPr>
          <w:rFonts w:ascii="Arial" w:hAnsi="Arial" w:eastAsia="Arial" w:cs="Arial"/>
          <w:color w:val="000000"/>
          <w:sz w:val="20"/>
          <w:szCs w:val="20"/>
        </w:rPr>
        <w:t xml:space="preserve"> befreit, wenn die
übertragende Körperschaft am Tag der Anmeldung des
Umwandlungsbeschlusses zur Eintragung in das Firmenbuch länger als
zwei Jahre besteht.</w:t>
      </w:r>
    </w:p>
    <w:p>
      <w:pPr>
        <w:numPr>
          <w:ilvl w:val="1"/>
          <w:numId w:val="7911291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Werden aufgrund einer Umwandlung nach § 7 UmgrStG
Erwerbsvorgänge nach § 1 Abs 1 oder 2 des
Grunderwerbsteuergesetzes 1987 verwirklicht, so ist die
</w:t>
      </w:r>
      <w:r>
        <w:rPr>
          <w:rFonts w:ascii="Arial" w:hAnsi="Arial" w:eastAsia="Arial" w:cs="Arial"/>
          <w:b/>
          <w:bCs/>
          <w:color w:val="000000"/>
          <w:sz w:val="20"/>
          <w:szCs w:val="20"/>
        </w:rPr>
        <w:t xml:space="preserve">Grunderwerbsteuer</w:t>
      </w:r>
      <w:r>
        <w:rPr>
          <w:rFonts w:ascii="Arial" w:hAnsi="Arial" w:eastAsia="Arial" w:cs="Arial"/>
          <w:color w:val="000000"/>
          <w:sz w:val="20"/>
          <w:szCs w:val="20"/>
        </w:rPr>
        <w:t xml:space="preserve"> vom Zweifachen des
Einheitswertes zu berechnen.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1129112">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14685650">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4136022">
    <w:multiLevelType w:val="hybridMultilevel"/>
    <w:lvl w:ilvl="0" w:tplc="86693817">
      <w:start w:val="1"/>
      <w:numFmt w:val="decimal"/>
      <w:lvlText w:val="%1."/>
      <w:lvlJc w:val="left"/>
      <w:pPr>
        <w:ind w:left="720" w:hanging="360"/>
      </w:pPr>
    </w:lvl>
    <w:lvl w:ilvl="1" w:tplc="86693817" w:tentative="1">
      <w:start w:val="1"/>
      <w:numFmt w:val="lowerLetter"/>
      <w:lvlText w:val="%2."/>
      <w:lvlJc w:val="left"/>
      <w:pPr>
        <w:ind w:left="1440" w:hanging="360"/>
      </w:pPr>
    </w:lvl>
    <w:lvl w:ilvl="2" w:tplc="86693817" w:tentative="1">
      <w:start w:val="1"/>
      <w:numFmt w:val="lowerRoman"/>
      <w:lvlText w:val="%3."/>
      <w:lvlJc w:val="right"/>
      <w:pPr>
        <w:ind w:left="2160" w:hanging="180"/>
      </w:pPr>
    </w:lvl>
    <w:lvl w:ilvl="3" w:tplc="86693817" w:tentative="1">
      <w:start w:val="1"/>
      <w:numFmt w:val="decimal"/>
      <w:lvlText w:val="%4."/>
      <w:lvlJc w:val="left"/>
      <w:pPr>
        <w:ind w:left="2880" w:hanging="360"/>
      </w:pPr>
    </w:lvl>
    <w:lvl w:ilvl="4" w:tplc="86693817" w:tentative="1">
      <w:start w:val="1"/>
      <w:numFmt w:val="lowerLetter"/>
      <w:lvlText w:val="%5."/>
      <w:lvlJc w:val="left"/>
      <w:pPr>
        <w:ind w:left="3600" w:hanging="360"/>
      </w:pPr>
    </w:lvl>
    <w:lvl w:ilvl="5" w:tplc="86693817" w:tentative="1">
      <w:start w:val="1"/>
      <w:numFmt w:val="lowerRoman"/>
      <w:lvlText w:val="%6."/>
      <w:lvlJc w:val="right"/>
      <w:pPr>
        <w:ind w:left="4320" w:hanging="180"/>
      </w:pPr>
    </w:lvl>
    <w:lvl w:ilvl="6" w:tplc="86693817" w:tentative="1">
      <w:start w:val="1"/>
      <w:numFmt w:val="decimal"/>
      <w:lvlText w:val="%7."/>
      <w:lvlJc w:val="left"/>
      <w:pPr>
        <w:ind w:left="5040" w:hanging="360"/>
      </w:pPr>
    </w:lvl>
    <w:lvl w:ilvl="7" w:tplc="86693817" w:tentative="1">
      <w:start w:val="1"/>
      <w:numFmt w:val="lowerLetter"/>
      <w:lvlText w:val="%8."/>
      <w:lvlJc w:val="left"/>
      <w:pPr>
        <w:ind w:left="5760" w:hanging="360"/>
      </w:pPr>
    </w:lvl>
    <w:lvl w:ilvl="8" w:tplc="86693817" w:tentative="1">
      <w:start w:val="1"/>
      <w:numFmt w:val="lowerRoman"/>
      <w:lvlText w:val="%9."/>
      <w:lvlJc w:val="right"/>
      <w:pPr>
        <w:ind w:left="6480" w:hanging="180"/>
      </w:pPr>
    </w:lvl>
  </w:abstractNum>
  <w:abstractNum w:abstractNumId="34136021">
    <w:multiLevelType w:val="hybridMultilevel"/>
    <w:lvl w:ilvl="0" w:tplc="699653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136021">
    <w:abstractNumId w:val="34136021"/>
  </w:num>
  <w:num w:numId="34136022">
    <w:abstractNumId w:val="34136022"/>
  </w:num>
  <w:num w:numId="514685650">
    <w:abstractNumId w:val="514685650"/>
  </w:num>
  <w:num w:numId="791129112">
    <w:abstractNumId w:val="7911291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439349979" Type="http://schemas.openxmlformats.org/officeDocument/2006/relationships/numbering" Target="numbering.xml"/><Relationship Id="rId287912286"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