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7481998" w:name="document"/>
    <w:bookmarkEnd w:id="7481998"/>
    <w:p/>
    <w:p>
      <w:pPr>
        <w:widowControl w:val="on"/>
        <w:pBdr/>
        <w:spacing w:before="0" w:after="280" w:line="240" w:lineRule="auto"/>
        <w:ind w:left="0" w:right="0"/>
        <w:jc w:val="left"/>
      </w:pPr>
      <w:r>
        <w:rPr>
          <w:rFonts w:ascii="Arial" w:hAnsi="Arial" w:eastAsia="Arial" w:cs="Arial"/>
          <w:color w:val="363A40"/>
          <w:sz w:val="24"/>
          <w:szCs w:val="24"/>
        </w:rPr>
        <w:t xml:space="preserve">Dokument-ID: 1015675 | Alexandra Cervinka |
Muster | Checkliste</w:t>
      </w:r>
    </w:p>
    <w:p>
      <w:pPr>
        <w:widowControl w:val="on"/>
        <w:pBdr/>
        <w:spacing w:before="340" w:after="220" w:line="268" w:lineRule="auto"/>
        <w:ind w:left="0" w:right="0"/>
        <w:jc w:val="left"/>
        <w:outlineLvl w:val="0"/>
      </w:pPr>
      <w:r>
        <w:rPr>
          <w:rFonts w:ascii="Arial" w:hAnsi="Arial" w:eastAsia="Arial" w:cs="Arial"/>
          <w:color w:val="363A40"/>
          <w:sz w:val="36"/>
          <w:szCs w:val="36"/>
        </w:rPr>
        <w:t xml:space="preserve">Scheidungsvergleich – Überblick</w:t>
      </w:r>
    </w:p>
    <w:p>
      <w:pPr>
        <w:numPr>
          <w:ilvl w:val="0"/>
          <w:numId w:val="42093135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Ehegattenunterhalt</w:t>
      </w:r>
    </w:p>
    <w:p>
      <w:pPr>
        <w:numPr>
          <w:ilvl w:val="1"/>
          <w:numId w:val="42093135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Beginn der Unterhaltszahlungen, Respiro</w:t>
      </w:r>
    </w:p>
    <w:p>
      <w:pPr>
        <w:numPr>
          <w:ilvl w:val="1"/>
          <w:numId w:val="42093135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Höhe, Wertsicherung</w:t>
      </w:r>
    </w:p>
    <w:p>
      <w:pPr>
        <w:numPr>
          <w:ilvl w:val="1"/>
          <w:numId w:val="42093135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Fälligkeit, Zahlungsmodalitäten (die Überweisung auf ein
festgelegtes Konto wird empfohlen)</w:t>
      </w:r>
    </w:p>
    <w:p>
      <w:pPr>
        <w:numPr>
          <w:ilvl w:val="1"/>
          <w:numId w:val="42093135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Festhalten, ob Rückstand besteht + allenfalls
Zahlungsvereinbarung über den Rückstand zum Zeitpunkt des
Vergleichsabschlusses</w:t>
      </w:r>
    </w:p>
    <w:p>
      <w:pPr>
        <w:numPr>
          <w:ilvl w:val="1"/>
          <w:numId w:val="42093135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Bemessungsgrundlage</w:t>
      </w:r>
    </w:p>
    <w:p>
      <w:pPr>
        <w:numPr>
          <w:ilvl w:val="1"/>
          <w:numId w:val="42093135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Weitere Sorgepflichten des Unterhaltspflichtigen</w:t>
      </w:r>
    </w:p>
    <w:p>
      <w:pPr>
        <w:numPr>
          <w:ilvl w:val="1"/>
          <w:numId w:val="42093135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Eigeneinkommen des Unterhaltsberechtigten</w:t>
      </w:r>
    </w:p>
    <w:p>
      <w:pPr>
        <w:numPr>
          <w:ilvl w:val="1"/>
          <w:numId w:val="42093135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Eventuelle Befristung des Ehegattenunterhalts</w:t>
      </w:r>
    </w:p>
    <w:p>
      <w:pPr>
        <w:numPr>
          <w:ilvl w:val="1"/>
          <w:numId w:val="42093135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Unterhaltsverzicht: entweder wechselseitig oder nur Verzicht
des Unterhaltsverpflichteten</w:t>
      </w:r>
    </w:p>
    <w:p>
      <w:pPr>
        <w:numPr>
          <w:ilvl w:val="1"/>
          <w:numId w:val="42093135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Gesetzliche Regelung, dass der Unterhalt bei Eingehen einer
Lebensgemeinschaft ruht und bei Wiederverheiratung erlischt – kann
abbedungen werden</w:t>
      </w:r>
    </w:p>
    <w:p>
      <w:pPr>
        <w:numPr>
          <w:ilvl w:val="1"/>
          <w:numId w:val="42093135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Regelung für Höhe des Unterhaltes bei Pensionseintritt,
Eintritt von Berufsunfähigkeit udgl</w:t>
      </w:r>
    </w:p>
    <w:p>
      <w:pPr>
        <w:numPr>
          <w:ilvl w:val="1"/>
          <w:numId w:val="42093135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Regelung der Vorgangsweise bei Änderung der
Bemessungsgrundlage</w:t>
      </w:r>
    </w:p>
    <w:p>
      <w:pPr>
        <w:numPr>
          <w:ilvl w:val="1"/>
          <w:numId w:val="42093135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Pensionsansprüche, vor allem bei Unterhaltsverzicht
beachten</w:t>
      </w:r>
    </w:p>
    <w:p>
      <w:pPr>
        <w:numPr>
          <w:ilvl w:val="1"/>
          <w:numId w:val="42093135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Witwenpensionsansprüche berücksichtigen</w:t>
      </w:r>
    </w:p>
    <w:p>
      <w:pPr>
        <w:numPr>
          <w:ilvl w:val="1"/>
          <w:numId w:val="42093135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Erlöschen der Mitversicherung bei Krankenversicherung
beachten</w:t>
      </w:r>
    </w:p>
    <w:p>
      <w:pPr>
        <w:numPr>
          <w:ilvl w:val="1"/>
          <w:numId w:val="42093135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Berücksichtigung der Fristen für freiwillige
Weiterversicherung, allenfalls Möglichkeit eines
Herabsetzungsantrages überprüfen</w:t>
      </w:r>
    </w:p>
    <w:p>
      <w:pPr>
        <w:numPr>
          <w:ilvl w:val="0"/>
          <w:numId w:val="42093135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Gemeinsame Kinder – Obsorge</w:t>
      </w:r>
    </w:p>
    <w:p>
      <w:pPr>
        <w:numPr>
          <w:ilvl w:val="1"/>
          <w:numId w:val="42093135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Obsorge beider Eltern soll nach Willen des Gesetzgebers
grundsätzlich auch nach Auflösung der Ehe weiterbestehen</w:t>
      </w:r>
    </w:p>
    <w:p>
      <w:pPr>
        <w:numPr>
          <w:ilvl w:val="1"/>
          <w:numId w:val="42093135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Obsorge bleibt hinsichtlich beider Elternteile aufrecht:
Regelung, in wessen Haushalt das Kind/die Kinder hauptsächlich
betreut werden</w:t>
      </w:r>
    </w:p>
    <w:p>
      <w:pPr>
        <w:numPr>
          <w:ilvl w:val="1"/>
          <w:numId w:val="42093135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Keine echte „Doppelresidenz“ möglich, in der Praxis aber immer
häufiger gelebt</w:t>
      </w:r>
    </w:p>
    <w:p>
      <w:pPr>
        <w:numPr>
          <w:ilvl w:val="1"/>
          <w:numId w:val="42093135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Allgemeiner Grundsatz: Derjenige Elternteil, der die
hauptsächliche Betreuung innehat, muss mit der gesamten Obsorge
betraut sein</w:t>
      </w:r>
    </w:p>
    <w:p>
      <w:pPr>
        <w:numPr>
          <w:ilvl w:val="1"/>
          <w:numId w:val="42093135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Betrauung eines Elternteiles alleine mit der Obsorge</w:t>
      </w:r>
    </w:p>
    <w:p>
      <w:pPr>
        <w:numPr>
          <w:ilvl w:val="1"/>
          <w:numId w:val="42093135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Beschränkung der Obsorge eines Elternteils</w:t>
      </w:r>
    </w:p>
    <w:p>
      <w:pPr>
        <w:numPr>
          <w:ilvl w:val="1"/>
          <w:numId w:val="42093135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Keine pflegschaftsgerichtliche Genehmigung mehr notwendig, aber
mögliche Unwirksamkeitserklärung durch das Gericht bei
Kindeswohlgefährdung</w:t>
      </w:r>
    </w:p>
    <w:p>
      <w:pPr>
        <w:numPr>
          <w:ilvl w:val="0"/>
          <w:numId w:val="42093135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Gemeinsame Kinder – Kontaktrecht</w:t>
      </w:r>
    </w:p>
    <w:p>
      <w:pPr>
        <w:numPr>
          <w:ilvl w:val="1"/>
          <w:numId w:val="42093135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Besonderes Naheverhältnis zum Elternteil soll gewahrt bzw
hergestellt werden</w:t>
      </w:r>
    </w:p>
    <w:p>
      <w:pPr>
        <w:numPr>
          <w:ilvl w:val="1"/>
          <w:numId w:val="42093135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Kontaktrecht soll auch Freizeit und Alltag umfassen</w:t>
      </w:r>
    </w:p>
    <w:p>
      <w:pPr>
        <w:numPr>
          <w:ilvl w:val="1"/>
          <w:numId w:val="42093135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Elternteil, der mit dem Kind nicht im gemeinsamen Haushalt
lebt, soll durch die Gestaltung der persönlichen Kontakte nicht in
die Rolle eines gelegentlichen Besuchers gedrängt werden</w:t>
      </w:r>
    </w:p>
    <w:p>
      <w:pPr>
        <w:numPr>
          <w:ilvl w:val="1"/>
          <w:numId w:val="42093135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Alter, Bedürfnisse, Wünsche des Kindes und bisherige Intensität
der Beziehung sind besonders zu berücksichtigen</w:t>
      </w:r>
    </w:p>
    <w:p>
      <w:pPr>
        <w:numPr>
          <w:ilvl w:val="1"/>
          <w:numId w:val="42093135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Kein Mindestbesuchsrecht festgelegt</w:t>
      </w:r>
    </w:p>
    <w:p>
      <w:pPr>
        <w:numPr>
          <w:ilvl w:val="1"/>
          <w:numId w:val="42093135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Oberster Grundsatz ist nach wie vor das Kindeswohl</w:t>
      </w:r>
    </w:p>
    <w:p>
      <w:pPr>
        <w:numPr>
          <w:ilvl w:val="1"/>
          <w:numId w:val="42093135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Kontaktrecht darf nicht der außergerichtlichen Regelung
vorbehalten werden</w:t>
      </w:r>
    </w:p>
    <w:p>
      <w:pPr>
        <w:numPr>
          <w:ilvl w:val="1"/>
          <w:numId w:val="42093135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Mögliche Regelungsinhalte: regelmäßige Wochenenden, Tage unter
der Woche, Ferienbesuchsrecht, Feiertagsbesuchsrecht, Regelung der
Geburtstage, Muttertag, Vatertag</w:t>
      </w:r>
    </w:p>
    <w:p>
      <w:pPr>
        <w:numPr>
          <w:ilvl w:val="1"/>
          <w:numId w:val="42093135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Bereitschaft der Eltern, die Regelung allenfalls an veränderte
Umstände anzupassen, ist von großer Wichtigkeit</w:t>
      </w:r>
    </w:p>
    <w:p>
      <w:pPr>
        <w:numPr>
          <w:ilvl w:val="1"/>
          <w:numId w:val="42093135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Hohes Maß an Flexibilität ist erforderlich</w:t>
      </w:r>
    </w:p>
    <w:p>
      <w:pPr>
        <w:numPr>
          <w:ilvl w:val="1"/>
          <w:numId w:val="42093135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Modalitäten: Abhol- und Zurückbringzeiten genau festlegen,
maximale Wartezeit auf Besuchsberechtigten, allenfalls Verfall des
Besuchsrechts bei Nichtausübung</w:t>
      </w:r>
    </w:p>
    <w:p>
      <w:pPr>
        <w:numPr>
          <w:ilvl w:val="0"/>
          <w:numId w:val="42093135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Gemeinsame Kinder – Kindesunterhalt</w:t>
      </w:r>
    </w:p>
    <w:p>
      <w:pPr>
        <w:numPr>
          <w:ilvl w:val="1"/>
          <w:numId w:val="42093135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Beginn der Zahlungen</w:t>
      </w:r>
    </w:p>
    <w:p>
      <w:pPr>
        <w:numPr>
          <w:ilvl w:val="1"/>
          <w:numId w:val="42093135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Höhe</w:t>
      </w:r>
    </w:p>
    <w:p>
      <w:pPr>
        <w:numPr>
          <w:ilvl w:val="1"/>
          <w:numId w:val="42093135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Fälligkeit, Zahlungsmodalitäten (es empfiehlt sich die
Überweisung auf ein Konto)</w:t>
      </w:r>
    </w:p>
    <w:p>
      <w:pPr>
        <w:numPr>
          <w:ilvl w:val="1"/>
          <w:numId w:val="42093135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Rückstände + allenfalls Zahlungsvereinbarung über den
Rückstand</w:t>
      </w:r>
    </w:p>
    <w:p>
      <w:pPr>
        <w:numPr>
          <w:ilvl w:val="1"/>
          <w:numId w:val="42093135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Bemessungsgrundlage der Unterhaltsberechnung</w:t>
      </w:r>
    </w:p>
    <w:p>
      <w:pPr>
        <w:numPr>
          <w:ilvl w:val="1"/>
          <w:numId w:val="42093135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Weitere Sorgepflichten des Unterhaltspflichtigen</w:t>
      </w:r>
    </w:p>
    <w:p>
      <w:pPr>
        <w:numPr>
          <w:ilvl w:val="1"/>
          <w:numId w:val="42093135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Familienbeihilfenbezug (allenfalls Änderung der
Bezugsberechtigung; Anrechnung)</w:t>
      </w:r>
    </w:p>
    <w:p>
      <w:pPr>
        <w:numPr>
          <w:ilvl w:val="1"/>
          <w:numId w:val="42093135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Festlegung, wie Unterhalt bemessen wurde (§ 231 ABGB)</w:t>
      </w:r>
    </w:p>
    <w:p>
      <w:pPr>
        <w:numPr>
          <w:ilvl w:val="1"/>
          <w:numId w:val="42093135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Festlegung, wer Familienbonus beziehen soll</w:t>
      </w:r>
    </w:p>
    <w:p>
      <w:pPr>
        <w:numPr>
          <w:ilvl w:val="1"/>
          <w:numId w:val="42093135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Schad- und Klaglosvereinbarung zwischen den Elternteilen
möglich, sofern die Vereinbarung darüber im Rahmen einer
umfassenden Regelung der Folgen einer Trennung vor Gericht
geschlossen wird. Dadurch wird berücksichtigt, dass Schad- und
Klagloshaltungen meist mit einer weitreichenden Regelung der
vermögensrechtlichen Folgen einer Trennung zusammenhängen und daher
regelmäßig entsprechend abgegolten werden.</w:t>
      </w:r>
    </w:p>
    <w:p>
      <w:pPr>
        <w:numPr>
          <w:ilvl w:val="1"/>
          <w:numId w:val="42093135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Regelung, wer allenfalls vorhandenen Bausparvertrag bedient
(Anrechnung auf Unterhalt ja/nein)</w:t>
      </w:r>
    </w:p>
    <w:p>
      <w:pPr>
        <w:numPr>
          <w:ilvl w:val="1"/>
          <w:numId w:val="42093135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Sonderbedarf</w:t>
      </w:r>
    </w:p>
    <w:p>
      <w:pPr>
        <w:numPr>
          <w:ilvl w:val="1"/>
          <w:numId w:val="42093135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Gerichtliche Vereinbarung über die Höhe des Unterhaltes ist
auch ohne gerichtliche Genehmigung wirksam und vollstreckbar und
für den Unterhaltsverpflichteten verbindlich</w:t>
      </w:r>
    </w:p>
    <w:p>
      <w:pPr>
        <w:numPr>
          <w:ilvl w:val="1"/>
          <w:numId w:val="42093135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Verzicht ist weiterhin nicht zulässig</w:t>
      </w:r>
    </w:p>
    <w:p>
      <w:pPr>
        <w:numPr>
          <w:ilvl w:val="1"/>
          <w:numId w:val="42093135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Kind ist an die Vereinbarung nicht gebunden, kann jederzeit
Erhöhung geltend machen, dies auch ohne Änderung der der
Vereinbarung zugrunde liegenden Umstände</w:t>
      </w:r>
    </w:p>
    <w:p>
      <w:pPr>
        <w:numPr>
          <w:ilvl w:val="0"/>
          <w:numId w:val="42093135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Eheliches Gebrauchsvermögen, eheliche Ersparnisse und
Schulden</w:t>
      </w:r>
    </w:p>
    <w:p>
      <w:pPr>
        <w:numPr>
          <w:ilvl w:val="1"/>
          <w:numId w:val="42093135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Ehewohnung/eheliches Haus im Eigentum: klären, wem die Wohnung
bzw das Haus künftig alleine gehören soll. Miteigentum nach der
Scheidung wenn möglich vermeiden (Konfliktpotenzial!)</w:t>
      </w:r>
    </w:p>
    <w:p>
      <w:pPr>
        <w:numPr>
          <w:ilvl w:val="1"/>
          <w:numId w:val="42093135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Bei Übertragung von Eigentum: Rangordnungsbeschluss
erwirken</w:t>
      </w:r>
    </w:p>
    <w:p>
      <w:pPr>
        <w:numPr>
          <w:ilvl w:val="1"/>
          <w:numId w:val="42093135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Zeitpunkt für Übergang der Kosten für Ehewohnung fixieren</w:t>
      </w:r>
    </w:p>
    <w:p>
      <w:pPr>
        <w:numPr>
          <w:ilvl w:val="1"/>
          <w:numId w:val="42093135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Betriebskostenrückstände, Betriebskostenguthaben udgl
klären</w:t>
      </w:r>
    </w:p>
    <w:p>
      <w:pPr>
        <w:numPr>
          <w:ilvl w:val="1"/>
          <w:numId w:val="42093135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Regelung über Kosten, Gebühren, Steuern und Abgaben, die im
Zusammenhang mit Liegenschaftsübertragung anfallen, treffen</w:t>
      </w:r>
    </w:p>
    <w:p>
      <w:pPr>
        <w:numPr>
          <w:ilvl w:val="1"/>
          <w:numId w:val="42093135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Räumungsvereinbarung treffen, allenfalls Verzicht auf
Räumungsaufschub</w:t>
      </w:r>
    </w:p>
    <w:p>
      <w:pPr>
        <w:numPr>
          <w:ilvl w:val="1"/>
          <w:numId w:val="42093135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Mitnahme Gegenstände klären</w:t>
      </w:r>
    </w:p>
    <w:p>
      <w:pPr>
        <w:numPr>
          <w:ilvl w:val="1"/>
          <w:numId w:val="42093135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Ehewohnung gemietet: Erklärung in den Scheidungsvergleich
aufnehmen, dass der Ehegatte, der auszieht, fristgerecht sämtliche
Erklärungen gegenüber dem Vermieter abgibt, die zur Übertragung der
Mietrechte notwendig sind</w:t>
      </w:r>
    </w:p>
    <w:p>
      <w:pPr>
        <w:numPr>
          <w:ilvl w:val="1"/>
          <w:numId w:val="42093135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Regeln, wer eine hinterlegte Kaution erhält</w:t>
      </w:r>
    </w:p>
    <w:p>
      <w:pPr>
        <w:numPr>
          <w:ilvl w:val="1"/>
          <w:numId w:val="42093135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Liste über Gegenstände anfertigen, die der ausziehende Ehegatte
mitnehmen darf. Die Gegenstände möglichst genau beschreiben, da
allenfalls Exekution geführt werden muss</w:t>
      </w:r>
    </w:p>
    <w:p>
      <w:pPr>
        <w:numPr>
          <w:ilvl w:val="1"/>
          <w:numId w:val="42093135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Frist für Abholung der Gegenstände vereinbaren; allenfalls
Recht auf Entsorgung der Gegenstände bei nicht fristgerechter
Abholung bzw Übergang in das Eigentum des anderen; Kostenregelung
für allenfalls notwendige Entsorgung</w:t>
      </w:r>
    </w:p>
    <w:p>
      <w:pPr>
        <w:numPr>
          <w:ilvl w:val="1"/>
          <w:numId w:val="42093135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Regelung Pkw, allenfalls Eigentumsübertragung;
Leasingfahrzeug</w:t>
      </w:r>
    </w:p>
    <w:p>
      <w:pPr>
        <w:numPr>
          <w:ilvl w:val="1"/>
          <w:numId w:val="42093135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Herausgabepflicht für die Fahrzeugpapiere terminlich
fixieren</w:t>
      </w:r>
    </w:p>
    <w:p>
      <w:pPr>
        <w:numPr>
          <w:ilvl w:val="1"/>
          <w:numId w:val="42093135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Haushaltsversicherung, Gebäudeversicherung etc: Übertragung und
allenfalls Zustimmungserklärung regeln</w:t>
      </w:r>
    </w:p>
    <w:p>
      <w:pPr>
        <w:numPr>
          <w:ilvl w:val="1"/>
          <w:numId w:val="42093135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Aufteilung Sparbücher</w:t>
      </w:r>
    </w:p>
    <w:p>
      <w:pPr>
        <w:numPr>
          <w:ilvl w:val="1"/>
          <w:numId w:val="42093135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Lebensversicherungen: überprüfen, ob für den Übergang
Erklärungen des ausscheidenden Ehepartners notwendig sind</w:t>
      </w:r>
    </w:p>
    <w:p>
      <w:pPr>
        <w:numPr>
          <w:ilvl w:val="1"/>
          <w:numId w:val="42093135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Schulden: Wer haftet? Kredite, Bankkonten, Leasingverträge
etc</w:t>
      </w:r>
    </w:p>
    <w:p>
      <w:pPr>
        <w:numPr>
          <w:ilvl w:val="1"/>
          <w:numId w:val="42093135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Antrag Ausfallsbürgschaft (am besten gleich im
Scheidungsvergleich beantragen)</w:t>
      </w:r>
    </w:p>
    <w:p>
      <w:pPr>
        <w:numPr>
          <w:ilvl w:val="1"/>
          <w:numId w:val="42093135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Ausgleichzahlung: Höhe, Fälligkeit, Zahlungsmodalitäten
(Raten), Zinsen, Terminsverlust</w:t>
      </w:r>
    </w:p>
    <w:p>
      <w:pPr>
        <w:numPr>
          <w:ilvl w:val="1"/>
          <w:numId w:val="42093135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Ausgleichszahlung allenfalls an eine Bedingung knüpfen
(fristgerechte Räumung etc), Pfandrecht zur Absicherung</w:t>
      </w:r>
    </w:p>
    <w:p>
      <w:pPr>
        <w:numPr>
          <w:ilvl w:val="1"/>
          <w:numId w:val="42093135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Abgeltung Miterwerb im Betrieb des anderen</w:t>
      </w:r>
    </w:p>
    <w:p>
      <w:pPr>
        <w:numPr>
          <w:ilvl w:val="1"/>
          <w:numId w:val="42093135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Kosten der einvernehmlichen Ehescheidung: Gerichtskosten,
Anwaltskosten</w:t>
      </w:r>
    </w:p>
    <w:p>
      <w:pPr>
        <w:numPr>
          <w:ilvl w:val="0"/>
          <w:numId w:val="42093135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 95 Abs 1a AußStrG</w:t>
      </w:r>
    </w:p>
    <w:p>
      <w:pPr>
        <w:numPr>
          <w:ilvl w:val="1"/>
          <w:numId w:val="42093135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Vor Abschluss oder Vorlage einer Regelung der Scheidungsfolgen
bei Gericht haben die Parteien zu bescheinigen, dass sie sich über
die spezifischen aus der Scheidung resultierenden Bedürfnisse ihrer
minderjährigen Kinder bei einer geeigneten Person oder Einrichtung
haben beraten lassen.</w:t>
      </w:r>
    </w:p>
    <w:p>
      <w:pPr>
        <w:numPr>
          <w:ilvl w:val="1"/>
          <w:numId w:val="42093135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Geeignete Personen oder Einrichtungen können sowohl die
etablierten Familienberatungsstellen als auch freiberuflich tätige
Psychologen und Pädagogen sein.</w:t>
      </w:r>
    </w:p>
    <w:p>
      <w:pPr>
        <w:numPr>
          <w:ilvl w:val="1"/>
          <w:numId w:val="42093135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Eine Einzelberatung der Eltern ist nicht erforderlich. Da eine
allgemeine Information über die mit einer Ehescheidung verbundenen
Folgen für minderjährige Kinder im Vordergrund steht, ist es auch
möglich, dass mehrere Elternpaare eine derartige Beratung gemeinsam
in Anspruch nehmen und dadurch die Kosten aufgeteilt werden.</w:t>
      </w:r>
    </w:p>
    <w:p>
      <w:pPr>
        <w:numPr>
          <w:ilvl w:val="0"/>
          <w:numId w:val="42093135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Notwendige Dokumente (im Original vorzulegen)</w:t>
      </w:r>
    </w:p>
    <w:p>
      <w:pPr>
        <w:numPr>
          <w:ilvl w:val="1"/>
          <w:numId w:val="42093135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Heiratsurkunde</w:t>
      </w:r>
    </w:p>
    <w:p>
      <w:pPr>
        <w:numPr>
          <w:ilvl w:val="1"/>
          <w:numId w:val="42093135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Staatsbürgerschaftsnachweise der Ehegatten</w:t>
      </w:r>
    </w:p>
    <w:p>
      <w:pPr>
        <w:numPr>
          <w:ilvl w:val="1"/>
          <w:numId w:val="42093135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Meldebestätigungen der Ehegatten</w:t>
      </w:r>
    </w:p>
    <w:p>
      <w:pPr>
        <w:numPr>
          <w:ilvl w:val="1"/>
          <w:numId w:val="42093135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Lichtbildausweise der Ehegatten</w:t>
      </w:r>
    </w:p>
    <w:p>
      <w:pPr>
        <w:numPr>
          <w:ilvl w:val="1"/>
          <w:numId w:val="42093135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Meldebestätigungen der Kinder</w:t>
      </w:r>
    </w:p>
    <w:p>
      <w:pPr>
        <w:numPr>
          <w:ilvl w:val="1"/>
          <w:numId w:val="42093135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Geburtsurkunden der gemeinsamen Kinder</w:t>
      </w:r>
    </w:p>
    <w:p>
      <w:pPr>
        <w:numPr>
          <w:ilvl w:val="1"/>
          <w:numId w:val="42093135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Bestätigung gem § 95 Abs 1a AußStrG</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20931351">
    <w:multiLevelType w:val="hybridMultilevel"/>
    <w:lvl w:ilvl="0">
      <w:start w:val=""/>
      <w:numFmt w:val="bullet"/>
      <w:lvlText w:val="●"/>
      <w:lvlJc w:val="left"/>
      <w:pPr>
        <w:ind w:left="720" w:hanging="360"/>
      </w:pPr>
      <w:rPr/>
    </w:lvl>
    <w:lvl w:ilvl="1">
      <w:start w:val=""/>
      <w:numFmt w:val="bullet"/>
      <w:lvlText w:val="○"/>
      <w:lvlJc w:val="left"/>
      <w:pPr>
        <w:ind w:left="1440" w:hanging="360"/>
      </w:pPr>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145064812">
    <w:multiLevelType w:val="hybridMultilevel"/>
    <w:lvl w:ilvl="0">
      <w:start w:val=""/>
      <w:numFmt w:val="bullet"/>
      <w:lvlText w:val="●"/>
      <w:lvlJc w:val="left"/>
      <w:pPr>
        <w:ind w:left="720" w:hanging="360"/>
      </w:pPr>
      <w:rPr/>
    </w:lvl>
    <w:lvl w:ilvl="1">
      <w:start w:val=""/>
      <w:numFmt w:val="bullet"/>
      <w:lvlText w:val="○"/>
      <w:lvlJc w:val="left"/>
      <w:pPr>
        <w:ind w:left="1440" w:hanging="360"/>
      </w:pPr>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48756488">
    <w:multiLevelType w:val="hybridMultilevel"/>
    <w:lvl w:ilvl="0" w:tplc="42482132">
      <w:start w:val="1"/>
      <w:numFmt w:val="decimal"/>
      <w:lvlText w:val="%1."/>
      <w:lvlJc w:val="left"/>
      <w:pPr>
        <w:ind w:left="720" w:hanging="360"/>
      </w:pPr>
    </w:lvl>
    <w:lvl w:ilvl="1" w:tplc="42482132" w:tentative="1">
      <w:start w:val="1"/>
      <w:numFmt w:val="lowerLetter"/>
      <w:lvlText w:val="%2."/>
      <w:lvlJc w:val="left"/>
      <w:pPr>
        <w:ind w:left="1440" w:hanging="360"/>
      </w:pPr>
    </w:lvl>
    <w:lvl w:ilvl="2" w:tplc="42482132" w:tentative="1">
      <w:start w:val="1"/>
      <w:numFmt w:val="lowerRoman"/>
      <w:lvlText w:val="%3."/>
      <w:lvlJc w:val="right"/>
      <w:pPr>
        <w:ind w:left="2160" w:hanging="180"/>
      </w:pPr>
    </w:lvl>
    <w:lvl w:ilvl="3" w:tplc="42482132" w:tentative="1">
      <w:start w:val="1"/>
      <w:numFmt w:val="decimal"/>
      <w:lvlText w:val="%4."/>
      <w:lvlJc w:val="left"/>
      <w:pPr>
        <w:ind w:left="2880" w:hanging="360"/>
      </w:pPr>
    </w:lvl>
    <w:lvl w:ilvl="4" w:tplc="42482132" w:tentative="1">
      <w:start w:val="1"/>
      <w:numFmt w:val="lowerLetter"/>
      <w:lvlText w:val="%5."/>
      <w:lvlJc w:val="left"/>
      <w:pPr>
        <w:ind w:left="3600" w:hanging="360"/>
      </w:pPr>
    </w:lvl>
    <w:lvl w:ilvl="5" w:tplc="42482132" w:tentative="1">
      <w:start w:val="1"/>
      <w:numFmt w:val="lowerRoman"/>
      <w:lvlText w:val="%6."/>
      <w:lvlJc w:val="right"/>
      <w:pPr>
        <w:ind w:left="4320" w:hanging="180"/>
      </w:pPr>
    </w:lvl>
    <w:lvl w:ilvl="6" w:tplc="42482132" w:tentative="1">
      <w:start w:val="1"/>
      <w:numFmt w:val="decimal"/>
      <w:lvlText w:val="%7."/>
      <w:lvlJc w:val="left"/>
      <w:pPr>
        <w:ind w:left="5040" w:hanging="360"/>
      </w:pPr>
    </w:lvl>
    <w:lvl w:ilvl="7" w:tplc="42482132" w:tentative="1">
      <w:start w:val="1"/>
      <w:numFmt w:val="lowerLetter"/>
      <w:lvlText w:val="%8."/>
      <w:lvlJc w:val="left"/>
      <w:pPr>
        <w:ind w:left="5760" w:hanging="360"/>
      </w:pPr>
    </w:lvl>
    <w:lvl w:ilvl="8" w:tplc="42482132" w:tentative="1">
      <w:start w:val="1"/>
      <w:numFmt w:val="lowerRoman"/>
      <w:lvlText w:val="%9."/>
      <w:lvlJc w:val="right"/>
      <w:pPr>
        <w:ind w:left="6480" w:hanging="180"/>
      </w:pPr>
    </w:lvl>
  </w:abstractNum>
  <w:abstractNum w:abstractNumId="48756487">
    <w:multiLevelType w:val="hybridMultilevel"/>
    <w:lvl w:ilvl="0" w:tplc="8630561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8756487">
    <w:abstractNumId w:val="48756487"/>
  </w:num>
  <w:num w:numId="48756488">
    <w:abstractNumId w:val="48756488"/>
  </w:num>
  <w:num w:numId="145064812">
    <w:abstractNumId w:val="145064812"/>
  </w:num>
  <w:num w:numId="420931351">
    <w:abstractNumId w:val="42093135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766500422" Type="http://schemas.openxmlformats.org/officeDocument/2006/relationships/numbering" Target="numbering.xml"/><Relationship Id="rId316609208"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