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9790647" w:name="document"/>
    <w:bookmarkEnd w:id="49790647"/>
    <w:p/>
    <w:p>
      <w:pPr>
        <w:widowControl w:val="on"/>
        <w:pBdr/>
        <w:spacing w:before="0" w:after="280" w:line="240" w:lineRule="auto"/>
        <w:ind w:left="0" w:right="0"/>
        <w:jc w:val="left"/>
      </w:pPr>
      <w:r>
        <w:rPr>
          <w:rFonts w:ascii="Arial" w:hAnsi="Arial" w:eastAsia="Arial" w:cs="Arial"/>
          <w:color w:val="363A40"/>
          <w:sz w:val="24"/>
          <w:szCs w:val="24"/>
        </w:rPr>
        <w:t xml:space="preserve">Dokument-ID: 1015675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Überblick</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Ehegattenunterhalt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Unterhaltszahlungen, Respiro</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Wertsicherung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(die Überweisung auf ein
festgelegtes Konto wird empfohlen)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Festhalten, ob Rückstand besteht + allenfalls
Zahlungsvereinbarung über den Rückstand zum Zeitpunkt des
Vergleichsabschlusses</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Eigeneinkommen des Unterhaltsberechtigten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Eventuelle Befristung des Ehegattenunterhalts</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Unterhaltsverzicht: entweder wechselseitig oder nur Verzicht
des Unterhaltsverpflichteten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Gesetzliche Regelung, dass der Unterhalt bei Eingehen einer
Lebensgemeinschaft ruht und bei Wiederverheiratung erlischt – kann
abbedungen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für Höhe des Unterhaltes bei Pensionseintritt,
Eintritt von Berufsunfähigkeit udgl</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der Vorgangsweise bei Änderung der
Bemessungsgrundlage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Pensionsansprüche, vor allem bei Unterhaltsverzicht
beachten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Witwenpensionsansprüche berücksichtigen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Erlöschen der Mitversicherung bei Krankenversicherung
beachten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Berücksichtigung der Fristen für freiwillige
Weiterversicherung, allenfalls Möglichkeit eines
Herabsetzungsantrages überprüfen</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Obsorge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beider Eltern soll nach Willen des Gesetzgebers
grundsätzlich auch nach Auflösung der Ehe weiterbestehen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Obsorge bleibt hinsichtlich beider Elternteile aufrecht:
Regelung, in wessen Haushalt das Kind/die Kinder hauptsächlich
betreut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echte „Doppelresidenz“ möglich, in der Praxis aber immer
häufiger gelebt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Allgemeiner Grundsatz: Derjenige Elternteil, der die
hauptsächliche Betreuung innehat, muss mit der gesamten Obsorge
betraut sein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Betrauung eines Elternteiles alleine mit der Obsorge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Beschränkung der Obsorge eines Elternteils</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pflegschaftsgerichtliche Genehmigung mehr notwendig, aber
mögliche Unwirksamkeitserklärung durch das Gericht bei
Kindeswohlgefährdung</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Kontaktrecht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Besonderes Naheverhältnis zum Elternteil soll gewahrt bzw
hergestellt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soll auch Freizeit und Alltag umfassen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Elternteil, der mit dem Kind nicht im gemeinsamen Haushalt
lebt, soll durch die Gestaltung der persönlichen Kontakte nicht in
die Rolle eines gelegentlichen Besuchers gedrängt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Alter, Bedürfnisse, Wünsche des Kindes und bisherige Intensität
der Beziehung sind besonders zu berücksichtigen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Mindestbesuchsrecht festgelegt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Oberster Grundsatz ist nach wie vor das Kindeswohl</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Kontaktrecht darf nicht der außergerichtlichen Regelung
vorbehalten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Mögliche Regelungsinhalte: regelmäßige Wochenenden, Tage unter
der Woche, Ferienbesuchsrecht, Feiertagsbesuchsrecht, Regelung der
Geburtstage, Muttertag, Vatertag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Bereitschaft der Eltern, die Regelung allenfalls an veränderte
Umstände anzupassen, ist von großer Wichtigkeit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Hohes Maß an Flexibilität ist erforderlich</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Modalitäten: Abhol- und Zurückbringzeiten genau festlegen,
maximale Wartezeit auf Besuchsberechtigten, allenfalls Verfall des
Besuchsrechts bei Nichtausübung</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Gemeinsame Kinder – Kindesunterhalt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Beginn der Zahlungen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Fälligkeit, Zahlungsmodalitäten (es empfiehlt sich die
Überweisung auf ein Konto)</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Rückstände + allenfalls Zahlungsvereinbarung über den
Rückstand</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Bemessungsgrundlage der Unterhaltsberechnung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Weitere Sorgepflichten des Unterhaltspflichtigen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Familienbeihilfenbezug (allenfalls Änderung der
Bezugsberechtigung; Anrechnung)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wie Unterhalt bemessen wurde (§ 231 ABGB)</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Festlegung, wer Familienbonus beziehen soll</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Schad- und Klaglosvereinbarung zwischen den Elternteilen
möglich, sofern die Vereinbarung darüber im Rahmen einer
umfassenden Regelung der Folgen einer Trennung vor Gericht
geschlossen wird. Dadurch wird berücksichtigt, dass Schad- und
Klagloshaltungen meist mit einer weitreichenden Regelung der
vermögensrechtlichen Folgen einer Trennung zusammenhängen und daher
regelmäßig entsprechend abgegolten werden.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wer allenfalls vorhandenen Bausparvertrag bedient
(Anrechnung auf Unterhalt ja/nein)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Sonderbedarf</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Vereinbarung über die Höhe des Unterhaltes ist
auch ohne gerichtliche Genehmigung wirksam und vollstreckbar und
für den Unterhaltsverpflichteten verbindlich</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ist weiterhin nicht zulässig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 ist an die Vereinbarung nicht gebunden, kann jederzeit
Erhöhung geltend machen, dies auch ohne Änderung der der
Vereinbarung zugrunde liegenden Umstände</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Eheliches Gebrauchsvermögen, eheliche Ersparnisse und
Schulden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Ehewohnung/eheliches Haus im Eigentum: klären, wem die Wohnung
bzw das Haus künftig alleine gehören soll. Miteigentum nach der
Scheidung wenn möglich vermeiden (Konfliktpotenzial!)</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Übertragung von Eigentum: Rangordnungsbeschluss
erwirken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Zeitpunkt für Übergang der Kosten für Ehewohnung fixieren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Betriebskostenrückstände, Betriebskostenguthaben udgl
klären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über Kosten, Gebühren, Steuern und Abgaben, die im
Zusammenhang mit Liegenschaftsübertragung anfallen, treffen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Räumungsvereinbarung treffen, allenfalls Verzicht auf
Räumungsaufschub</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Mitnahme Gegenstände klären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gemietet: Erklärung in den Scheidungsvergleich
aufnehmen, dass der Ehegatte, der auszieht, fristgerecht sämtliche
Erklärungen gegenüber dem Vermieter abgibt, die zur Übertragung der
Mietrechte notwendig sind</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Regeln, wer eine hinterlegte Kaution erhält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Liste über Gegenstände anfertigen, die der ausziehende Ehegatte
mitnehmen darf. Die Gegenstände möglichst genau beschreiben, da
allenfalls Exekution geführt werden muss</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 für Abholung der Gegenstände vereinbaren; allenfalls
Recht auf Entsorgung der Gegenstände bei nicht fristgerechter
Abholung bzw Übergang in das Eigentum des anderen; Kostenregelung
für allenfalls notwendige Entsorgung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 Pkw, allenfalls Eigentumsübertragung;
Leasingfahrzeug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Herausgabepflicht für die Fahrzeugpapiere terminlich
fixieren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Haushaltsversicherung, Gebäudeversicherung etc: Übertragung und
allenfalls Zustimmungserklärung regeln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Aufteilung Sparbücher</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Lebensversicherungen: überprüfen, ob für den Übergang
Erklärungen des ausscheidenden Ehepartners notwendig sind</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Schulden: Wer haftet? Kredite, Bankkonten, Leasingverträge
etc</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Antrag Ausfallsbürgschaft (am besten gleich im
Scheidungsvergleich beantragen)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Ausgleichzahlung: Höhe, Fälligkeit, Zahlungsmodalitäten
(Raten), Zinsen, Terminsverlust</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Ausgleichszahlung allenfalls an eine Bedingung knüpfen
(fristgerechte Räumung etc), Pfandrecht zur Absicherung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Abgeltung Miterwerb im Betrieb des anderen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der einvernehmlichen Ehescheidung: Gerichtskosten,
Anwaltskosten</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 95 Abs 1a AußStrG</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Abschluss oder Vorlage einer Regelung der Scheidungsfolgen
bei Gericht haben die Parteien zu bescheinigen, dass sie sich über
die spezifischen aus der Scheidung resultierenden Bedürfnisse ihrer
minderjährigen Kinder bei einer geeigneten Person oder Einrichtung
haben beraten lassen.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Geeignete Personen oder Einrichtungen können sowohl die
etablierten Familienberatungsstellen als auch freiberuflich tätige
Psychologen und Pädagogen sein.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Einzelberatung der Eltern ist nicht erforderlich. Da eine
allgemeine Information über die mit einer Ehescheidung verbundenen
Folgen für minderjährige Kinder im Vordergrund steht, ist es auch
möglich, dass mehrere Elternpaare eine derartige Beratung gemeinsam
in Anspruch nehmen und dadurch die Kosten aufgeteilt werden.</w:t>
      </w:r>
    </w:p>
    <w:p>
      <w:pPr>
        <w:numPr>
          <w:ilvl w:val="0"/>
          <w:numId w:val="3929581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Notwendige Dokumente (im Original vorzulegen)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Heiratsurkunde</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Staatsbürgerschaftsnachweise der Ehegatten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Ehegatten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Lichtbildausweise der Ehegatten</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Meldebestätigungen der Kinder</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Geburtsurkunden der gemeinsamen Kinder</w:t>
      </w:r>
    </w:p>
    <w:p>
      <w:pPr>
        <w:numPr>
          <w:ilvl w:val="1"/>
          <w:numId w:val="3929581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gem § 95 Abs 1a AußStrG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95816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610136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805688">
    <w:multiLevelType w:val="hybridMultilevel"/>
    <w:lvl w:ilvl="0" w:tplc="54386933">
      <w:start w:val="1"/>
      <w:numFmt w:val="decimal"/>
      <w:lvlText w:val="%1."/>
      <w:lvlJc w:val="left"/>
      <w:pPr>
        <w:ind w:left="720" w:hanging="360"/>
      </w:pPr>
    </w:lvl>
    <w:lvl w:ilvl="1" w:tplc="54386933" w:tentative="1">
      <w:start w:val="1"/>
      <w:numFmt w:val="lowerLetter"/>
      <w:lvlText w:val="%2."/>
      <w:lvlJc w:val="left"/>
      <w:pPr>
        <w:ind w:left="1440" w:hanging="360"/>
      </w:pPr>
    </w:lvl>
    <w:lvl w:ilvl="2" w:tplc="54386933" w:tentative="1">
      <w:start w:val="1"/>
      <w:numFmt w:val="lowerRoman"/>
      <w:lvlText w:val="%3."/>
      <w:lvlJc w:val="right"/>
      <w:pPr>
        <w:ind w:left="2160" w:hanging="180"/>
      </w:pPr>
    </w:lvl>
    <w:lvl w:ilvl="3" w:tplc="54386933" w:tentative="1">
      <w:start w:val="1"/>
      <w:numFmt w:val="decimal"/>
      <w:lvlText w:val="%4."/>
      <w:lvlJc w:val="left"/>
      <w:pPr>
        <w:ind w:left="2880" w:hanging="360"/>
      </w:pPr>
    </w:lvl>
    <w:lvl w:ilvl="4" w:tplc="54386933" w:tentative="1">
      <w:start w:val="1"/>
      <w:numFmt w:val="lowerLetter"/>
      <w:lvlText w:val="%5."/>
      <w:lvlJc w:val="left"/>
      <w:pPr>
        <w:ind w:left="3600" w:hanging="360"/>
      </w:pPr>
    </w:lvl>
    <w:lvl w:ilvl="5" w:tplc="54386933" w:tentative="1">
      <w:start w:val="1"/>
      <w:numFmt w:val="lowerRoman"/>
      <w:lvlText w:val="%6."/>
      <w:lvlJc w:val="right"/>
      <w:pPr>
        <w:ind w:left="4320" w:hanging="180"/>
      </w:pPr>
    </w:lvl>
    <w:lvl w:ilvl="6" w:tplc="54386933" w:tentative="1">
      <w:start w:val="1"/>
      <w:numFmt w:val="decimal"/>
      <w:lvlText w:val="%7."/>
      <w:lvlJc w:val="left"/>
      <w:pPr>
        <w:ind w:left="5040" w:hanging="360"/>
      </w:pPr>
    </w:lvl>
    <w:lvl w:ilvl="7" w:tplc="54386933" w:tentative="1">
      <w:start w:val="1"/>
      <w:numFmt w:val="lowerLetter"/>
      <w:lvlText w:val="%8."/>
      <w:lvlJc w:val="left"/>
      <w:pPr>
        <w:ind w:left="5760" w:hanging="360"/>
      </w:pPr>
    </w:lvl>
    <w:lvl w:ilvl="8" w:tplc="54386933" w:tentative="1">
      <w:start w:val="1"/>
      <w:numFmt w:val="lowerRoman"/>
      <w:lvlText w:val="%9."/>
      <w:lvlJc w:val="right"/>
      <w:pPr>
        <w:ind w:left="6480" w:hanging="180"/>
      </w:pPr>
    </w:lvl>
  </w:abstractNum>
  <w:abstractNum w:abstractNumId="50805687">
    <w:multiLevelType w:val="hybridMultilevel"/>
    <w:lvl w:ilvl="0" w:tplc="42888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05687">
    <w:abstractNumId w:val="50805687"/>
  </w:num>
  <w:num w:numId="50805688">
    <w:abstractNumId w:val="50805688"/>
  </w:num>
  <w:num w:numId="666101365">
    <w:abstractNumId w:val="666101365"/>
  </w:num>
  <w:num w:numId="392958164">
    <w:abstractNumId w:val="392958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10586890" Type="http://schemas.openxmlformats.org/officeDocument/2006/relationships/numbering" Target="numbering.xml"/><Relationship Id="rId14085649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