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8421627" w:name="document"/>
    <w:bookmarkEnd w:id="58421627"/>
    <w:p/>
    <w:p>
      <w:pPr>
        <w:widowControl w:val="on"/>
        <w:pBdr/>
        <w:spacing w:before="0" w:after="280" w:line="240" w:lineRule="auto"/>
        <w:ind w:left="0" w:right="0"/>
        <w:jc w:val="left"/>
      </w:pPr>
      <w:r>
        <w:rPr>
          <w:rFonts w:ascii="Arial" w:hAnsi="Arial" w:eastAsia="Arial" w:cs="Arial"/>
          <w:color w:val="363A40"/>
          <w:sz w:val="24"/>
          <w:szCs w:val="24"/>
        </w:rPr>
        <w:t xml:space="preserve">Dokument-ID: 1015675 | Alexandra Cervinka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Scheidungsvergleich – Überblick</w:t>
      </w:r>
    </w:p>
    <w:p>
      <w:pPr>
        <w:numPr>
          <w:ilvl w:val="0"/>
          <w:numId w:val="919766076"/>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Ehegattenunterhalt</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Beginn der Unterhaltszahlungen, Respiro</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Höhe, Wertsicherung</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Fälligkeit, Zahlungsmodalitäten (die Überweisung auf ein
festgelegtes Konto wird empfohlen)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Festhalten, ob Rückstand besteht + allenfalls
Zahlungsvereinbarung über den Rückstand zum Zeitpunkt des
Vergleichsabschlusses</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Bemessungsgrundlage</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Weitere Sorgepflichten des Unterhaltspflichtigen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Eigeneinkommen des Unterhaltsberechtigten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Eventuelle Befristung des Ehegattenunterhalts</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Unterhaltsverzicht: entweder wechselseitig oder nur Verzicht
des Unterhaltsverpflichteten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Gesetzliche Regelung, dass der Unterhalt bei Eingehen einer
Lebensgemeinschaft ruht und bei Wiederverheiratung erlischt – kann
abbedungen werden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für Höhe des Unterhaltes bei Pensionseintritt,
Eintritt von Berufsunfähigkeit udgl</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der Vorgangsweise bei Änderung der
Bemessungsgrundlage</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Pensionsansprüche, vor allem bei Unterhaltsverzicht
beachten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Witwenpensionsansprüche berücksichtigen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Erlöschen der Mitversicherung bei Krankenversicherung
beachten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Berücksichtigung der Fristen für freiwillige
Weiterversicherung, allenfalls Möglichkeit eines
Herabsetzungsantrages überprüfen</w:t>
      </w:r>
    </w:p>
    <w:p>
      <w:pPr>
        <w:numPr>
          <w:ilvl w:val="0"/>
          <w:numId w:val="919766076"/>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Gemeinsame Kinder – Obsorge</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Obsorge beider Eltern soll nach Willen des Gesetzgebers
grundsätzlich auch nach Auflösung der Ehe weiterbestehen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Obsorge bleibt hinsichtlich beider Elternteile aufrecht:
Regelung, in wessen Haushalt das Kind/die Kinder hauptsächlich
betreut werden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echte „Doppelresidenz“ möglich, in der Praxis aber immer
häufiger gelebt</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Allgemeiner Grundsatz: Derjenige Elternteil, der die
hauptsächliche Betreuung innehat, muss mit der gesamten Obsorge
betraut sein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Betrauung eines Elternteiles alleine mit der Obsorge</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Beschränkung der Obsorge eines Elternteils</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pflegschaftsgerichtliche Genehmigung mehr notwendig, aber
mögliche Unwirksamkeitserklärung durch das Gericht bei
Kindeswohlgefährdung</w:t>
      </w:r>
    </w:p>
    <w:p>
      <w:pPr>
        <w:numPr>
          <w:ilvl w:val="0"/>
          <w:numId w:val="919766076"/>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Gemeinsame Kinder – Kontaktrecht</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Besonderes Naheverhältnis zum Elternteil soll gewahrt bzw
hergestellt werden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Kontaktrecht soll auch Freizeit und Alltag umfassen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Elternteil, der mit dem Kind nicht im gemeinsamen Haushalt
lebt, soll durch die Gestaltung der persönlichen Kontakte nicht in
die Rolle eines gelegentlichen Besuchers gedrängt werden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Alter, Bedürfnisse, Wünsche des Kindes und bisherige Intensität
der Beziehung sind besonders zu berücksichtigen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 Mindestbesuchsrecht festgelegt</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Oberster Grundsatz ist nach wie vor das Kindeswohl</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Kontaktrecht darf nicht der außergerichtlichen Regelung
vorbehalten werden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Mögliche Regelungsinhalte: regelmäßige Wochenenden, Tage unter
der Woche, Ferienbesuchsrecht, Feiertagsbesuchsrecht, Regelung der
Geburtstage, Muttertag, Vatertag</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Bereitschaft der Eltern, die Regelung allenfalls an veränderte
Umstände anzupassen, ist von großer Wichtigkeit</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Hohes Maß an Flexibilität ist erforderlich</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Modalitäten: Abhol- und Zurückbringzeiten genau festlegen,
maximale Wartezeit auf Besuchsberechtigten, allenfalls Verfall des
Besuchsrechts bei Nichtausübung</w:t>
      </w:r>
    </w:p>
    <w:p>
      <w:pPr>
        <w:numPr>
          <w:ilvl w:val="0"/>
          <w:numId w:val="919766076"/>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Gemeinsame Kinder – Kindesunterhalt</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Beginn der Zahlungen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Höhe</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Fälligkeit, Zahlungsmodalitäten (es empfiehlt sich die
Überweisung auf ein Konto)</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Rückstände + allenfalls Zahlungsvereinbarung über den
Rückstand</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Bemessungsgrundlage der Unterhaltsberechnung</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Weitere Sorgepflichten des Unterhaltspflichtigen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Familienbeihilfenbezug (allenfalls Änderung der
Bezugsberechtigung; Anrechnung)</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Festlegung, wie Unterhalt bemessen wurde (§ 231 ABGB)</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Festlegung, wer Familienbonus beziehen soll</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Schad- und Klaglosvereinbarung zwischen den Elternteilen
möglich, sofern die Vereinbarung darüber im Rahmen einer
umfassenden Regelung der Folgen einer Trennung vor Gericht
geschlossen wird. Dadurch wird berücksichtigt, dass Schad- und
Klagloshaltungen meist mit einer weitreichenden Regelung der
vermögensrechtlichen Folgen einer Trennung zusammenhängen und daher
regelmäßig entsprechend abgegolten werden.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wer allenfalls vorhandenen Bausparvertrag bedient
(Anrechnung auf Unterhalt ja/nein)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Sonderbedarf</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Gerichtliche Vereinbarung über die Höhe des Unterhaltes ist
auch ohne gerichtliche Genehmigung wirksam und vollstreckbar und
für den Unterhaltsverpflichteten verbindlich</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Verzicht ist weiterhin nicht zulässig</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 ist an die Vereinbarung nicht gebunden, kann jederzeit
Erhöhung geltend machen, dies auch ohne Änderung der der
Vereinbarung zugrunde liegenden Umstände</w:t>
      </w:r>
    </w:p>
    <w:p>
      <w:pPr>
        <w:numPr>
          <w:ilvl w:val="0"/>
          <w:numId w:val="919766076"/>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Eheliches Gebrauchsvermögen, eheliche Ersparnisse und
Schulden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Ehewohnung/eheliches Haus im Eigentum: klären, wem die Wohnung
bzw das Haus künftig alleine gehören soll. Miteigentum nach der
Scheidung wenn möglich vermeiden (Konfliktpotenzial!)</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Übertragung von Eigentum: Rangordnungsbeschluss
erwirken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Zeitpunkt für Übergang der Kosten für Ehewohnung fixieren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Betriebskostenrückstände, Betriebskostenguthaben udgl
klären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über Kosten, Gebühren, Steuern und Abgaben, die im
Zusammenhang mit Liegenschaftsübertragung anfallen, treffen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Räumungsvereinbarung treffen, allenfalls Verzicht auf
Räumungsaufschub</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Mitnahme Gegenstände klären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Ehewohnung gemietet: Erklärung in den Scheidungsvergleich
aufnehmen, dass der Ehegatte, der auszieht, fristgerecht sämtliche
Erklärungen gegenüber dem Vermieter abgibt, die zur Übertragung der
Mietrechte notwendig sind</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Regeln, wer eine hinterlegte Kaution erhält</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Liste über Gegenstände anfertigen, die der ausziehende Ehegatte
mitnehmen darf. Die Gegenstände möglichst genau beschreiben, da
allenfalls Exekution geführt werden muss</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Frist für Abholung der Gegenstände vereinbaren; allenfalls
Recht auf Entsorgung der Gegenstände bei nicht fristgerechter
Abholung bzw Übergang in das Eigentum des anderen; Kostenregelung
für allenfalls notwendige Entsorgung</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Pkw, allenfalls Eigentumsübertragung;
Leasingfahrzeug</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Herausgabepflicht für die Fahrzeugpapiere terminlich
fixieren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Haushaltsversicherung, Gebäudeversicherung etc: Übertragung und
allenfalls Zustimmungserklärung regeln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Aufteilung Sparbücher</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Lebensversicherungen: überprüfen, ob für den Übergang
Erklärungen des ausscheidenden Ehepartners notwendig sind</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Schulden: Wer haftet? Kredite, Bankkonten, Leasingverträge
etc</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Antrag Ausfallsbürgschaft (am besten gleich im
Scheidungsvergleich beantragen)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Ausgleichzahlung: Höhe, Fälligkeit, Zahlungsmodalitäten
(Raten), Zinsen, Terminsverlust</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Ausgleichszahlung allenfalls an eine Bedingung knüpfen
(fristgerechte Räumung etc), Pfandrecht zur Absicherung</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Abgeltung Miterwerb im Betrieb des anderen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Kosten der einvernehmlichen Ehescheidung: Gerichtskosten,
Anwaltskosten</w:t>
      </w:r>
    </w:p>
    <w:p>
      <w:pPr>
        <w:numPr>
          <w:ilvl w:val="0"/>
          <w:numId w:val="919766076"/>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 95 Abs 1a AußStrG</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 Abschluss oder Vorlage einer Regelung der Scheidungsfolgen
bei Gericht haben die Parteien zu bescheinigen, dass sie sich über
die spezifischen aus der Scheidung resultierenden Bedürfnisse ihrer
minderjährigen Kinder bei einer geeigneten Person oder Einrichtung
haben beraten lassen.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Geeignete Personen oder Einrichtungen können sowohl die
etablierten Familienberatungsstellen als auch freiberuflich tätige
Psychologen und Pädagogen sein.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Einzelberatung der Eltern ist nicht erforderlich. Da eine
allgemeine Information über die mit einer Ehescheidung verbundenen
Folgen für minderjährige Kinder im Vordergrund steht, ist es auch
möglich, dass mehrere Elternpaare eine derartige Beratung gemeinsam
in Anspruch nehmen und dadurch die Kosten aufgeteilt werden.</w:t>
      </w:r>
    </w:p>
    <w:p>
      <w:pPr>
        <w:numPr>
          <w:ilvl w:val="0"/>
          <w:numId w:val="919766076"/>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Notwendige Dokumente (im Original vorzulegen)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Heiratsurkunde</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Staatsbürgerschaftsnachweise der Ehegatten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Meldebestätigungen der Ehegatten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Lichtbildausweise der Ehegatten</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Meldebestätigungen der Kinder</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Geburtsurkunden der gemeinsamen Kinder</w:t>
      </w:r>
    </w:p>
    <w:p>
      <w:pPr>
        <w:numPr>
          <w:ilvl w:val="1"/>
          <w:numId w:val="9197660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Bestätigung gem § 95 Abs 1a AußStrG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766076">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8353489">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9490711">
    <w:multiLevelType w:val="hybridMultilevel"/>
    <w:lvl w:ilvl="0" w:tplc="53349561">
      <w:start w:val="1"/>
      <w:numFmt w:val="decimal"/>
      <w:lvlText w:val="%1."/>
      <w:lvlJc w:val="left"/>
      <w:pPr>
        <w:ind w:left="720" w:hanging="360"/>
      </w:pPr>
    </w:lvl>
    <w:lvl w:ilvl="1" w:tplc="53349561" w:tentative="1">
      <w:start w:val="1"/>
      <w:numFmt w:val="lowerLetter"/>
      <w:lvlText w:val="%2."/>
      <w:lvlJc w:val="left"/>
      <w:pPr>
        <w:ind w:left="1440" w:hanging="360"/>
      </w:pPr>
    </w:lvl>
    <w:lvl w:ilvl="2" w:tplc="53349561" w:tentative="1">
      <w:start w:val="1"/>
      <w:numFmt w:val="lowerRoman"/>
      <w:lvlText w:val="%3."/>
      <w:lvlJc w:val="right"/>
      <w:pPr>
        <w:ind w:left="2160" w:hanging="180"/>
      </w:pPr>
    </w:lvl>
    <w:lvl w:ilvl="3" w:tplc="53349561" w:tentative="1">
      <w:start w:val="1"/>
      <w:numFmt w:val="decimal"/>
      <w:lvlText w:val="%4."/>
      <w:lvlJc w:val="left"/>
      <w:pPr>
        <w:ind w:left="2880" w:hanging="360"/>
      </w:pPr>
    </w:lvl>
    <w:lvl w:ilvl="4" w:tplc="53349561" w:tentative="1">
      <w:start w:val="1"/>
      <w:numFmt w:val="lowerLetter"/>
      <w:lvlText w:val="%5."/>
      <w:lvlJc w:val="left"/>
      <w:pPr>
        <w:ind w:left="3600" w:hanging="360"/>
      </w:pPr>
    </w:lvl>
    <w:lvl w:ilvl="5" w:tplc="53349561" w:tentative="1">
      <w:start w:val="1"/>
      <w:numFmt w:val="lowerRoman"/>
      <w:lvlText w:val="%6."/>
      <w:lvlJc w:val="right"/>
      <w:pPr>
        <w:ind w:left="4320" w:hanging="180"/>
      </w:pPr>
    </w:lvl>
    <w:lvl w:ilvl="6" w:tplc="53349561" w:tentative="1">
      <w:start w:val="1"/>
      <w:numFmt w:val="decimal"/>
      <w:lvlText w:val="%7."/>
      <w:lvlJc w:val="left"/>
      <w:pPr>
        <w:ind w:left="5040" w:hanging="360"/>
      </w:pPr>
    </w:lvl>
    <w:lvl w:ilvl="7" w:tplc="53349561" w:tentative="1">
      <w:start w:val="1"/>
      <w:numFmt w:val="lowerLetter"/>
      <w:lvlText w:val="%8."/>
      <w:lvlJc w:val="left"/>
      <w:pPr>
        <w:ind w:left="5760" w:hanging="360"/>
      </w:pPr>
    </w:lvl>
    <w:lvl w:ilvl="8" w:tplc="53349561" w:tentative="1">
      <w:start w:val="1"/>
      <w:numFmt w:val="lowerRoman"/>
      <w:lvlText w:val="%9."/>
      <w:lvlJc w:val="right"/>
      <w:pPr>
        <w:ind w:left="6480" w:hanging="180"/>
      </w:pPr>
    </w:lvl>
  </w:abstractNum>
  <w:abstractNum w:abstractNumId="39490710">
    <w:multiLevelType w:val="hybridMultilevel"/>
    <w:lvl w:ilvl="0" w:tplc="87905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90710">
    <w:abstractNumId w:val="39490710"/>
  </w:num>
  <w:num w:numId="39490711">
    <w:abstractNumId w:val="39490711"/>
  </w:num>
  <w:num w:numId="308353489">
    <w:abstractNumId w:val="308353489"/>
  </w:num>
  <w:num w:numId="919766076">
    <w:abstractNumId w:val="9197660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94605997" Type="http://schemas.openxmlformats.org/officeDocument/2006/relationships/numbering" Target="numbering.xml"/><Relationship Id="rId61562281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