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569091" w:name="document"/>
    <w:bookmarkEnd w:id="2569091"/>
    <w:p/>
    <w:p>
      <w:pPr>
        <w:widowControl w:val="on"/>
        <w:pBdr/>
        <w:spacing w:before="0" w:after="280" w:line="240" w:lineRule="auto"/>
        <w:ind w:left="0" w:right="0"/>
        <w:jc w:val="left"/>
      </w:pPr>
      <w:r>
        <w:rPr>
          <w:rFonts w:ascii="Arial" w:hAnsi="Arial" w:eastAsia="Arial" w:cs="Arial"/>
          <w:color w:val="363A40"/>
          <w:sz w:val="24"/>
          <w:szCs w:val="24"/>
        </w:rPr>
        <w:t xml:space="preserve">Dokument-ID: 1033069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Besitzstörung unter Ehegatten, eingetragenen Partnern und
Lebensgefährten</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Besitzstörungsklagen sind auch zwischen Mitbesitzern und somit
auch zwischen Ehegatten, eingetragenen Partnern und Lebensgefährten
zulässig. Bei Mitbesitzern liegt eine Besitzstörung dann vor, wenn
einer der Mitbesitzer dem anderen eigenmächtig die Sache entzieht
und ihn dadurch von der Benutzung überhaupt ausschließt oder die
bisherige Gebrauchsordnung erheblich stört (LGZ Wien EF 51.383,
63.010, 117.164 uva). Dies zeigt sich in der Regel daran, dass sich
ein Mitbesitzer wie ein Alleinbesitzer verhält und die bisherigen
Benützungsverhältnisse dadurch erheblich verändert. Zwischen
Mitbesitzern kommt es also nicht darauf an, welche Gebrauchsrechte
bestehen, sondern lediglich darauf, welche bindende
Gebrauchsordnung zuletzt tatsächlich bestand. Beurteilungsmaßstab
für das Vorliegen einer (nicht einvernehmlichen) Veränderung des
faktischen Zustands als Ausgangspunkt für die Qualifizierung von
Eingriffen als Besitzstörungshandlungen ist daher die bisherige
Ausübung des Mitbesitzes (1 Ob 213/07s;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 339 ABGB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unter Ehegatten liegt vor, wenn die
Gebrauchsordnung wesentlich gestört oder einer der Ehegatten vom
anderen von der Benutzung einer Sache ausgeschlossen wird (EFSlg
29.312; EFSlg 66.182, EFSlg 68.932, EFSlg 75.253 ua). Nimmt bspw
ein Ehegatte das gemeinsame Sparbuch eigenmächtig aus dem Banksafe,
wird die zwischen den Ehegatten bestehende Gebrauchsordnung im
Hinblick auf das Vorhandensein dieses Sparbuchs im gemeinsamen Safe
wesentlich gestört und der andere Ehegatte vom Zugriff auf das
gemeinsame Sparbuch ausgeschlossen, sodass eine Störung seines
Mitbesitzes am Sparbuch vorliegt (LGZ Wien EF 93.270). Die Beiträge
der Ehegatten zum Zustandekommen des Sparguthabens und die Frage
seiner Zugehörigkeit zum Aufteilungsvermögen iSd § 81 EheG
sind hingegen im Besitzstörungsverfahren unerheblich.</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und Einrichtung:</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beiden Ehegatten steht nicht nur an der Ehewohnung
Mitbesitz zu (EFSlg 48.480, EFSlg 75.242 ua), sondern auch an den
in der ehelichen Wohnung befindlichen Hausrats- und
Einrichtungsgegenständen, wobei der Frage, ob diese Gegenstände vor
oder während der Ehe angeschafft wurden bzw in wessen Eigentum sie
stehen, keine Bedeutung zukommt (MietSlg 27.035, EFSlg 40.964,
EFSlg 45.927, EFSlg 66.180 ua), was grundsätzlich auch selbst
dadurch keine Änderung erfahren würde, wenn man von einer Aufhebung
der häuslichen Gemeinschaft zwischen den Ehegatten ausginge (EFSlg
56.874, EFSlg 63.020, EFSlg 75.258 ua).</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Mitbesitz der Ehegatten besteht auch an in der Ehewohnung
befindlichen elektronischen Geräten (vgl EFSlg 45.928).</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Ansicht, dass keine Besitzstörung vorliege, wenn in einem
Haushalt zwei oder mehrere gleichartige Geräte für die Ehegatten
vorhanden sein, trifft nicht zu, weil ein Ehegatte an allen
Gegenständen seinen Besitz ausüben kann (LGZ Wien EF 71.992).</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Besitzstörungen liegen auch dann vor, wenn ein Ehegatte bisher
gemeinsam benutzte Gegenstände aus der Wohnung im Keller versteckt
(LGZ Wien EF 54.104) oder sie in einem dem anderen Ehegatten zwar
zugänglichen Schlafzimmerkasten verwahrt, ihn aber darüber nicht in
Kenntnis setzt, sodass dieser davon ausgehen musste, dass der
Ehegatte diese Sachen bei seinem Auszug aus der Wohnung mitgenommen
hat (LGZ Wien EF 33.673).</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Mitnahme von ausschließlich durch gemeinsame Kinder
benutzten Gegenständen ist nicht als Besitzstörung zu werten.
Werden Sachen, die in der Ehewohnung bisher nur von den Kindern der
Ehegatten benützt wurden, von dem einen Ehegatten aus der Wohnung
gebracht, so liegt keine Entziehung eines Mitbesitzes des anderen
Ehegatten vor, weil durch die Verbringung dieser Sachen keine
beeinträchtigende Störung der Gebrauchsordnung gegeben ist (LGZ
Wien EF 68.933).</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Entfernung von Gegenständen aus der Ehewohnung kann ein
Nachteil entstehen, da diese zuvor zur jederzeitigen Nutzung in der
Ehewohnung zur Verfügung standen. Ein Nachteil iSd § 339 ABGB
kann jedenfalls schon im Durchkreuzen des subjektiven Beliebens
liegen (vgl MietSlg 47.010, ZVR 1997, 200).</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Nachdem Besitz bzw Mitbesitz an beweglichen Sachen durch die
Benützung bzw Mitbenützung erworben wird, hat ein Ehegatte an in
der Wohnung befindlichen Gegenständen, die er noch nie benützt hat,
weder Besitz noch Mitbesitz. Durch die Wegnahme dieser Sachen durch
den anderen Ehegatten kann daher eine bestehende Gebrauchsordnung
zwischen den Ehegatten nicht gestört und eine Besitzstörungsklage
nicht gerechtfertigt werden (LGZ Wien EF 78.339).</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Anbringen eines neuen Schlosses an der Wohnungstür (oder
auch nur am Kellerabteil der Wohnung: LG Salzburg EF 93.271) durch
einen Mitbesitzer, der dem anderen den Schlüssel dazu vorenthält,
stellt eine Entziehungshandlung iS des § 339 ABGB dar, die nur
dann nicht als eigenmächtig zu beurteilen ist, wenn ihr der andere
Mitbesitzer zugestimmt bzw seinen Rechtsbesitz bis zum Zeitpunkt
des Schlusses der mündlichen Verhandlung erster Instanz über die
Besitzstörungsklage freiwillig aufgegeben hat (zum Beispiel LGZ
Wien EF 31.431, 117.165).</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das nur fallweise Verschlossenhalten der Ehewohnung in der
Absicht, dem Ehegatten den Besitz daran nach Gutdünken, wenn auch
nur von Zeit zu Zeit, zu entziehen, erfüllt den Tatbestand der
Besitzstörung. War die Absicht des einen Ehegatten (etwa durch
Versperren der Eingangstür von innen und Steckenlassen des
Schlüssels) darauf ausgerichtet, dem anderen den Besitz an der
Wohnung zumindest zeitweise zu entziehen, wurde es diesem dadurch
unmöglich gemacht, die Wohnung, wann immer er wollte, zu betreten,
sodass dadurch in seinen (Mit)Besitz eingegriffen wurde (LGZ Wien
EF 33.672 = Miet 31.018).</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Wegweisung eines Ehegatten aus der Wohnung mit einer
einstweiligen Verfügung gem § 382b Abs 1 EO als
Instrument der einstweiligen Konfliktregelung berechtigt den
verbliebenen Ehegatten nicht zum Austausch der Türschlösser. Da
eine Besitzaufgabe im Zweifel nicht zu vermuten ist und das
Verlassen der Wohnung unter diesen Umständen nicht freiwillig
erfolgte, kann aus dem Auszug nicht die Schaffung einer neuen
Gebrauchsordnung abgeleitet werden. Der Mitbesitz erlischt somit
nicht durch Wegweisung. Daher liegt eine Besitzstörung vor, wenn
der in der Ehewohnung verbliebene Ehegatte in einem solchen Fall
die Türschlösser austauschen ließ und dem Weggewiesenen keinen
Schlüssel aushändigte (LGZ Wien EF 33.675).</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Pkw: Die Wegnahme eines Pkw stellt eine Entziehung des
typischen Gebrauches dar und begründet hierdurch jedenfalls einen
im Durchkreuzen des subjektiven Beliebens des bisherigen Besitzers
gelegenen Nachteil, weil dieser jederzeit mit dem Fahrzeug fahren
hätte können (vgl EFSlg 84.280).</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Wegnahme des Fahrzeuges durch den Ehegatten, eingetragenen
Partner oder Lebensgefährten stellt eine Entziehung des typischen
Gebrauchs und damit einen Nachteil dar, wie er eine Voraussetzung
für die Qualifizierung als Besitzstörungshandlung bildet. Der
Umstand, dass der Kläger seiner Verpflichtung zur Zahlung der vom
Konto des anderen abgebuchten Versicherungsprämien im
Innenverhältnis nicht nachkommt, rechtfertigt nicht die Wegnahme
des Fahrzeuges (LGZ Wien EF 94.289). Durch solches Verhalten hat
der Beklagte den Rechtsbesitz des Klägers am Pkw eigenmächtig
gestört.</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Telefonanschluss: Die Benützungsmöglichkeit eines Telefons in
der gemeinsamen Wohnung stellt die Ausübung eines besitzfähigen
Rechts durch beide Mitbesitzer dar, wobei Eingriffe in die
bestehende Gebrauchsordnung Besitzstörungshandlungen sind. Wer
gegenüber der Fernmeldebehörde Vertragspartner ist und somit als
Fernsprechteilnehmer aufscheint, ist für eine Besitzstörung
unerheblich. Der Einwand, wonach der Kläger die Kosten des
Telefonanschlusses getragen hätte, ist im Besitzstörungsverfahren
ebenfalls unbeachtlich, weil die Verpflichtung zur Kostentragung im
Innenverhältnis in diesem Prozess irrelevant ist (LGZ Wien EF
51.389, 109.042). Maßgeblich für das Vorliegen einer Besitzstörung
ist in diesem Zusammenhang, dass der Ehegatte insofern im
(Mit)Besitz des Telefonanschlusses war, als er dort – unabhängig
von der Frage, wer Anschlussinhaber ist – unter der konkreten
Telefonnummer (LGZ Wien EF 89.918) Telefonate tätigen und
entgegennehmen konnte, und dass ihm das Telefonieren in der Wohnung
in der Folge nicht mehr möglich war. Das Abmelden des bisher
gemeinsam benutzten Telefons (LGZ Wien EF 111.023) bzw die
Veranlassung der Aktivsperre des Telefons (LGZ Wien EF 111.023),
die Verhinderung der Benutzung des Telefons durch dessen Entfernung
(LGZ Wien EF 40.966f) oder das Anbringen eines Schlosses am
Telefongerät (LGZ Wien EF 111.023) sind Besitzstörungen, die dazu
führen, dass der beklagte Ehegatte den früheren Zustand durch
Wiederanmeldung des Anschlusses bzw Zurückstellung des Geräts
wiederherstellen muss. Besteht die bisherige Gebrauchsordnung
darin, dass zwei Festnetzanschlüsse in der Ehewohnung verwendet
werden, so wird durch die einseitige Anbringung einer Aktivsperre
an einem dieser Anschlüsse eine Besitzstörung verwirklicht (LGZ
Wien EF 96.864) (Ehe- und Partnerschaftsrecht, Kommentar,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zu § 339 ABGB, 4.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Ehegatte, der das Telefon der Ehewohnung abmeldet, kann dem
Begehren des anderen, festzustellen, dass dieser ihn im Besitz des
Telefons gestört habe, und auszusprechen, dass er verpflichtet sei,
sich künftig derartiger Störungen zu enthalten und den vorigen
Zustand durch entsprechende Erklärung gegenüber der zuständigen
Stelle wieder herzustellen, nicht mit Erfolg entgegnen, die
Wiederherstellung sei nicht möglich, weil als
Wiederherstellungsmaßnahme nur ein neuer Antrag auf Anschluss eines
Telefonapparats gestellt werden könne. Im Besitzstörungsverfahren
hat der Kläger nicht nur ein Interesse an der Wiederherstellung,
sondern auch an der Feststellung der Störung und dem an den
Beklagten gerichteten Verbot einer künftigen Störung (LGZ Wien EF
36.080).</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Zahlungspflicht für die Telefonkosten ist im
Besitzstörungsverfahren bedeutungslos; dem Beklagten ist daher der
Einwand stark ansteigender Telefonkosten regelmäßig verwehrt, wenn
er auch die Möglichkeit hat, mittels Klage (oder bei besonders
dringlichen Fällen mittels EV) vorzugehen (LGZ Wien EF 56.873,
107.997). Nur in Ausnahmefällen, in denen sogar eine EV zu spät
käme, wird dem Ehegatten ein Selbsthilferecht eingeräumt. Eine
solche Konstellation liegt etwa dann vor, wenn innerhalb kurzer
Zeit (beispielsweise binnen 24 Stunden) infolge des Verhalten des
Beklagten extrem hohe Telefongebühren anfallen und diese nicht
einmal mit einer EV vor Eintritt des Schadens unterbunden werden
können (LGZ Wien EF 63.018, 107.997); nicht hingegen dann, wenn der
Beklagte entgegen der bisherigen Gebrauchsordnung einmal eine
außergewöhnlich hohe Telefonrechnung verursacht hat (LGZ Wien EF
48.499 [ca EUR 140,–]).</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Auszug aus der gemeinsamen Ehewohnung: Das Ausziehen eines
Ehegatten aus der gemeinsamen Wohnung kann eine Besitzaufgabe
bedeuten, dies ist jedoch im Einzelfall sorgfältig zu prüfen. Im
Zweifel ist eine Besitzaufgabe nicht zu vermuten LGZ Wien EF
123.569 uva), und zwar auch dann nicht, wenn ein Ehegatte
freiwillig aus der Ehewohnung mit dem Willen auszieht, die
Ehegemeinschaft endgültig aufzuheben (LGZ Wien 119.989). Vom
Willen, das eheliche Zusammenleben zu beenden, ist somit nicht
schon auf den Willen, auch den Besitz an der Ehewohnung aufzugeben,
zu schließen. Der Mitbesitz an der Wohnung und an
Hausratsgegenständen geht daher im Allgemeinen nicht verloren, wenn
der Ehegatte die Wohnung infolge gewisser Umstände tatsächlich
nicht mehr bewohnt, weil gem § 351 ABGB der bloße
Nichtgebrauch eines Rechts noch nicht zum Besitzverlust führt (LGZ
Wien EF 93.259).</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schlüssige Besitzaufgabe liegt nur dann vor, wenn aufgrund
besonderer Umstände des Einzelfalls ein Verhalten vernünftigerweise
keine andere Deutung zulässt (LGZ Wien EF 123.569 uva) und die
Willensbildung des Ehegatten eindeutig im Sinne einer Aufgabe des
Besitzes zu werten ist. Durch die urlaubsbedingte Abwesenheit ist
ein Verzicht auf Besitzrechte an der Ehewohnung und den darin
befindlichen Gegenständen selbstverständlich nicht gegeben (LGZ
Wien EF 96.861).</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Behalten des Wohnungsschlüssels spricht im Allgemeinen
eindeutig gegen die Absicht der Besitzaufgabe (LGZ Wien EF 123.569
uva). Dies gilt auch dann, wenn ein endgültiger Auszug erfolgt ist.
Wenn ein Ehegatte die Wohnung noch von Zeit zu Zeit aufsucht, über
den Wohnungsschlüssel verfügt und in der Wohnung auch noch Sachen
hat, kann daher nicht von einer Aufgabe des Besitzes an der Wohnung
gesprochen werden (LGZ Wien 93.261)</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durch Unterlassung: Eine Unterlassung stellt
keine Besitzstörung iSd § 339 ABGB dar. Daher wird etwa durch
das Unterbleiben der Zahlung der Kreditraten für die Anschaffung
der Ehewohnung der Besitz an ihr nicht gestört (LGZ Wien EF
87.133), weil dem Bankinstitut nicht die Möglichkeit offen steht,
dem Besitzer im Fall eines Leistungsverzugs die Benutzung der
Wohnung unmittelbar zu entziehen. Ein bisher bestehender
Rechtsbesitz verschafft einem Ehegatten keinen Rechtsanspruch auf
künftige Zahlungen. Überdies können Forderungen, die erst künftig
fällig werden, schon begrifflich nicht einem Anspruch auf
Wiederherstellung des früheren Zustands zugeordnet werden.</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Unterlassen einer bisher regelmäßig erbrachten Leistung
(bspw die Zahlung der Telefongebühren oder Energiekosten durch
einen Ehegatten) kann nur dann ausnahmsweise eine Störung des
Rechtsbesitzes darstellen, wenn der bisher Zahlende zugleich seine
Verpflichtung überhaupt bestreitet (LGZ Wien EF 51.386,
93.257).</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eigenmächtiger Eingriff in den Besitz einer Wohnung im
Sinne dieser Rechtsprechung kann nicht nur durch Kündigung des
Strom- und Gasbezugsvertrags, sondern ebenfalls durch die
Unterlassung der Zahlung der Rechnungen erfolgen, welche dann eine
Einstellung der Strom- und Gaslieferungen zur Folge hat (LGZ Wien
EF 51.388, 71.986, 114.025). Auch ein solches Verhalten ist
gem § 339 ABGB grundsätzlich verboten (LGZ Wien EF
71.986, 111.023). Werden hingegen die Rechnungen nicht (mehr)
bezahlt und kommt es dennoch nicht zum Eintritt einer Störung des
Rechtsbesitzes in Form des Rechts auf Strom- und Gasbezugs, ist die
Besitzstörungsklage nicht berechtigt (LGZ Wien EF 71.987, 114.025,
117.166).</w:t>
      </w:r>
    </w:p>
    <w:p>
      <w:pPr>
        <w:numPr>
          <w:ilvl w:val="0"/>
          <w:numId w:val="7756475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diesen Leitsätzen der Rechtsprechung löst somit das bloße
Unterlassen weiterer Zahlungen – im Gegensatz zur Einstellung der
bisher erbrachten Leistungen mit gleichzeitiger Bestreitung der
Zahlungsverpflichtung dem Grunde nach – keine im
Besitzstörungsverfahren bekämpfbare Beeinträchtigung des letzten
Besitzstandes aus. In der Praxis wird diese Differenzierung aber
nur selten klar vorzunehmen sein und regelmäßig vom
Aussageverhalten des Beklagten und von den Umständen des
Einzelfalls abhängen.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6475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92788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259109">
    <w:multiLevelType w:val="hybridMultilevel"/>
    <w:lvl w:ilvl="0" w:tplc="43050792">
      <w:start w:val="1"/>
      <w:numFmt w:val="decimal"/>
      <w:lvlText w:val="%1."/>
      <w:lvlJc w:val="left"/>
      <w:pPr>
        <w:ind w:left="720" w:hanging="360"/>
      </w:pPr>
    </w:lvl>
    <w:lvl w:ilvl="1" w:tplc="43050792" w:tentative="1">
      <w:start w:val="1"/>
      <w:numFmt w:val="lowerLetter"/>
      <w:lvlText w:val="%2."/>
      <w:lvlJc w:val="left"/>
      <w:pPr>
        <w:ind w:left="1440" w:hanging="360"/>
      </w:pPr>
    </w:lvl>
    <w:lvl w:ilvl="2" w:tplc="43050792" w:tentative="1">
      <w:start w:val="1"/>
      <w:numFmt w:val="lowerRoman"/>
      <w:lvlText w:val="%3."/>
      <w:lvlJc w:val="right"/>
      <w:pPr>
        <w:ind w:left="2160" w:hanging="180"/>
      </w:pPr>
    </w:lvl>
    <w:lvl w:ilvl="3" w:tplc="43050792" w:tentative="1">
      <w:start w:val="1"/>
      <w:numFmt w:val="decimal"/>
      <w:lvlText w:val="%4."/>
      <w:lvlJc w:val="left"/>
      <w:pPr>
        <w:ind w:left="2880" w:hanging="360"/>
      </w:pPr>
    </w:lvl>
    <w:lvl w:ilvl="4" w:tplc="43050792" w:tentative="1">
      <w:start w:val="1"/>
      <w:numFmt w:val="lowerLetter"/>
      <w:lvlText w:val="%5."/>
      <w:lvlJc w:val="left"/>
      <w:pPr>
        <w:ind w:left="3600" w:hanging="360"/>
      </w:pPr>
    </w:lvl>
    <w:lvl w:ilvl="5" w:tplc="43050792" w:tentative="1">
      <w:start w:val="1"/>
      <w:numFmt w:val="lowerRoman"/>
      <w:lvlText w:val="%6."/>
      <w:lvlJc w:val="right"/>
      <w:pPr>
        <w:ind w:left="4320" w:hanging="180"/>
      </w:pPr>
    </w:lvl>
    <w:lvl w:ilvl="6" w:tplc="43050792" w:tentative="1">
      <w:start w:val="1"/>
      <w:numFmt w:val="decimal"/>
      <w:lvlText w:val="%7."/>
      <w:lvlJc w:val="left"/>
      <w:pPr>
        <w:ind w:left="5040" w:hanging="360"/>
      </w:pPr>
    </w:lvl>
    <w:lvl w:ilvl="7" w:tplc="43050792" w:tentative="1">
      <w:start w:val="1"/>
      <w:numFmt w:val="lowerLetter"/>
      <w:lvlText w:val="%8."/>
      <w:lvlJc w:val="left"/>
      <w:pPr>
        <w:ind w:left="5760" w:hanging="360"/>
      </w:pPr>
    </w:lvl>
    <w:lvl w:ilvl="8" w:tplc="43050792" w:tentative="1">
      <w:start w:val="1"/>
      <w:numFmt w:val="lowerRoman"/>
      <w:lvlText w:val="%9."/>
      <w:lvlJc w:val="right"/>
      <w:pPr>
        <w:ind w:left="6480" w:hanging="180"/>
      </w:pPr>
    </w:lvl>
  </w:abstractNum>
  <w:abstractNum w:abstractNumId="15259108">
    <w:multiLevelType w:val="hybridMultilevel"/>
    <w:lvl w:ilvl="0" w:tplc="76267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59108">
    <w:abstractNumId w:val="15259108"/>
  </w:num>
  <w:num w:numId="15259109">
    <w:abstractNumId w:val="15259109"/>
  </w:num>
  <w:num w:numId="949278896">
    <w:abstractNumId w:val="949278896"/>
  </w:num>
  <w:num w:numId="775647589">
    <w:abstractNumId w:val="775647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49377746" Type="http://schemas.openxmlformats.org/officeDocument/2006/relationships/numbering" Target="numbering.xml"/><Relationship Id="rId5020709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