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5513606" w:name="document"/>
    <w:bookmarkEnd w:id="75513606"/>
    <w:p/>
    <w:p>
      <w:pPr>
        <w:widowControl w:val="on"/>
        <w:pBdr/>
        <w:spacing w:before="0" w:after="280" w:line="240" w:lineRule="auto"/>
        <w:ind w:left="0" w:right="0"/>
        <w:jc w:val="left"/>
      </w:pPr>
      <w:r>
        <w:rPr>
          <w:rFonts w:ascii="Arial" w:hAnsi="Arial" w:eastAsia="Arial" w:cs="Arial"/>
          <w:color w:val="363A40"/>
          <w:sz w:val="24"/>
          <w:szCs w:val="24"/>
        </w:rPr>
        <w:t xml:space="preserve">Dokument-ID: 1033069 | Alexandra Lenz-Cervinka
| Muster | Checkliste</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Besitzstörung unter Ehegatten, eingetragenen Partnern und
Lebensgefährten</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Besitzstörungsklagen sind auch zwischen Mitbesitzern und somit
auch zwischen Ehegatten, eingetragenen Partnern und Lebensgefährten
zulässig. Bei Mitbesitzern liegt eine Besitzstörung dann vor, wenn
einer der Mitbesitzer dem anderen eigenmächtig die Sache entzieht
und ihn dadurch von der Benutzung überhaupt ausschließt oder die
bisherige Gebrauchsordnung erheblich stört (LGZ Wien EF 51.383,
63.010, 117.164 uva). Dies zeigt sich in der Regel daran, dass sich
ein Mitbesitzer wie ein Alleinbesitzer verhält und die bisherigen
Benützungsverhältnisse dadurch erheblich verändert. Zwischen
Mitbesitzern kommt es also nicht darauf an, welche Gebrauchsrechte
bestehen, sondern lediglich darauf, welche bindende
Gebrauchsordnung zuletzt tatsächlich bestand. Beurteilungsmaßstab
für das Vorliegen einer (nicht einvernehmlichen) Veränderung des
faktischen Zustands als Ausgangspunkt für die Qualifizierung von
Eingriffen als Besitzstörungshandlungen ist daher die bisherige
Ausübung des Mitbesitzes (1 Ob 213/07s;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 339 ABGB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unter Ehegatten liegt vor, wenn die
Gebrauchsordnung wesentlich gestört oder einer der Ehegatten vom
anderen von der Benutzung einer Sache ausgeschlossen wird (EFSlg
29.312; EFSlg 66.182, EFSlg 68.932, EFSlg 75.253 ua). Nimmt bspw
ein Ehegatte das gemeinsame Sparbuch eigenmächtig aus dem Banksafe,
wird die zwischen den Ehegatten bestehende Gebrauchsordnung im
Hinblick auf das Vorhandensein dieses Sparbuchs im gemeinsamen Safe
wesentlich gestört und der andere Ehegatte vom Zugriff auf das
gemeinsame Sparbuch ausgeschlossen, sodass eine Störung seines
Mitbesitzes am Sparbuch vorliegt (LGZ Wien EF 93.270). Die Beiträge
der Ehegatten zum Zustandekommen des Sparguthabens und die Frage
seiner Zugehörigkeit zum Aufteilungsvermögen iSd § 81 EheG
sind hingegen im Besitzstörungsverfahren unerheblich.</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und Einrichtung:</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beiden Ehegatten steht nicht nur an der Ehewohnung
Mitbesitz zu (EFSlg 48.480, EFSlg 75.242 ua), sondern auch an den
in der ehelichen Wohnung befindlichen Hausrats- und
Einrichtungsgegenständen, wobei der Frage, ob diese Gegenstände vor
oder während der Ehe angeschafft wurden bzw in wessen Eigentum sie
stehen, keine Bedeutung zukommt (MietSlg 27.035, EFSlg 40.964,
EFSlg 45.927, EFSlg 66.180 ua), was grundsätzlich auch selbst
dadurch keine Änderung erfahren würde, wenn man von einer Aufhebung
der häuslichen Gemeinschaft zwischen den Ehegatten ausginge (EFSlg
56.874, EFSlg 63.020, EFSlg 75.258 ua).</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Mitbesitz der Ehegatten besteht auch an in der Ehewohnung
befindlichen elektronischen Geräten (vgl EFSlg 45.928).</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Ansicht, dass keine Besitzstörung vorliege, wenn in einem
Haushalt zwei oder mehrere gleichartige Geräte für die Ehegatten
vorhanden sein, trifft nicht zu, weil ein Ehegatte an allen
Gegenständen seinen Besitz ausüben kann (LGZ Wien EF 71.992).</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Besitzstörungen liegen auch dann vor, wenn ein Ehegatte bisher
gemeinsam benutzte Gegenstände aus der Wohnung im Keller versteckt
(LGZ Wien EF 54.104) oder sie in einem dem anderen Ehegatten zwar
zugänglichen Schlafzimmerkasten verwahrt, ihn aber darüber nicht in
Kenntnis setzt, sodass dieser davon ausgehen musste, dass der
Ehegatte diese Sachen bei seinem Auszug aus der Wohnung mitgenommen
hat (LGZ Wien EF 33.673).</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Mitnahme von ausschließlich durch gemeinsame Kinder
benutzten Gegenständen ist nicht als Besitzstörung zu werten.
Werden Sachen, die in der Ehewohnung bisher nur von den Kindern der
Ehegatten benützt wurden, von dem einen Ehegatten aus der Wohnung
gebracht, so liegt keine Entziehung eines Mitbesitzes des anderen
Ehegatten vor, weil durch die Verbringung dieser Sachen keine
beeinträchtigende Störung der Gebrauchsordnung gegeben ist (LGZ
Wien EF 68.933).</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Durch Entfernung von Gegenständen aus der Ehewohnung kann ein
Nachteil entstehen, da diese zuvor zur jederzeitigen Nutzung in der
Ehewohnung zur Verfügung standen. Ein Nachteil iSd § 339 ABGB
kann jedenfalls schon im Durchkreuzen des subjektiven Beliebens
liegen (vgl MietSlg 47.010, ZVR 1997, 200).</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Nachdem Besitz bzw Mitbesitz an beweglichen Sachen durch die
Benützung bzw Mitbenützung erworben wird, hat ein Ehegatte an in
der Wohnung befindlichen Gegenständen, die er noch nie benützt hat,
weder Besitz noch Mitbesitz. Durch die Wegnahme dieser Sachen durch
den anderen Ehegatten kann daher eine bestehende Gebrauchsordnung
zwischen den Ehegatten nicht gestört und eine Besitzstörungsklage
nicht gerechtfertigt werden (LGZ Wien EF 78.339).</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Anbringen eines neuen Schlosses an der Wohnungstür (oder
auch nur am Kellerabteil der Wohnung: LG Salzburg EF 93.271) durch
einen Mitbesitzer, der dem anderen den Schlüssel dazu vorenthält,
stellt eine Entziehungshandlung iS des § 339 ABGB dar, die nur
dann nicht als eigenmächtig zu beurteilen ist, wenn ihr der andere
Mitbesitzer zugestimmt bzw seinen Rechtsbesitz bis zum Zeitpunkt
des Schlusses der mündlichen Verhandlung erster Instanz über die
Besitzstörungsklage freiwillig aufgegeben hat (zum Beispiel LGZ
Wien EF 31.431, 117.165).</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Auch das nur fallweise Verschlossenhalten der Ehewohnung in der
Absicht, dem Ehegatten den Besitz daran nach Gutdünken, wenn auch
nur von Zeit zu Zeit, zu entziehen, erfüllt den Tatbestand der
Besitzstörung. War die Absicht des einen Ehegatten (etwa durch
Versperren der Eingangstür von innen und Steckenlassen des
Schlüssels) darauf ausgerichtet, dem anderen den Besitz an der
Wohnung zumindest zeitweise zu entziehen, wurde es diesem dadurch
unmöglich gemacht, die Wohnung, wann immer er wollte, zu betreten,
sodass dadurch in seinen (Mit)Besitz eingegriffen wurde (LGZ Wien
EF 33.672 = Miet 31.018).</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Wegweisung eines Ehegatten aus der Wohnung mit einer
einstweiligen Verfügung gem § 382b Abs 1 EO als
Instrument der einstweiligen Konfliktregelung berechtigt den
verbliebenen Ehegatten nicht zum Austausch der Türschlösser. Da
eine Besitzaufgabe im Zweifel nicht zu vermuten ist und das
Verlassen der Wohnung unter diesen Umständen nicht freiwillig
erfolgte, kann aus dem Auszug nicht die Schaffung einer neuen
Gebrauchsordnung abgeleitet werden. Der Mitbesitz erlischt somit
nicht durch Wegweisung. Daher liegt eine Besitzstörung vor, wenn
der in der Ehewohnung verbliebene Ehegatte in einem solchen Fall
die Türschlösser austauschen ließ und dem Weggewiesenen keinen
Schlüssel aushändigte (LGZ Wien EF 33.675).</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Pkw: Die Wegnahme eines Pkw stellt eine Entziehung des
typischen Gebrauches dar und begründet hierdurch jedenfalls einen
im Durchkreuzen des subjektiven Beliebens des bisherigen Besitzers
gelegenen Nachteil, weil dieser jederzeit mit dem Fahrzeug fahren
hätte können (vgl EFSlg 84.280).</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Wegnahme des Fahrzeuges durch den Ehegatten, eingetragenen
Partner oder Lebensgefährten stellt eine Entziehung des typischen
Gebrauchs und damit einen Nachteil dar, wie er eine Voraussetzung
für die Qualifizierung als Besitzstörungshandlung bildet. Der
Umstand, dass der Kläger seiner Verpflichtung zur Zahlung der vom
Konto des anderen abgebuchten Versicherungsprämien im
Innenverhältnis nicht nachkommt, rechtfertigt nicht die Wegnahme
des Fahrzeuges (LGZ Wien EF 94.289). Durch solches Verhalten hat
der Beklagte den Rechtsbesitz des Klägers am Pkw eigenmächtig
gestört.</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Telefonanschluss: Die Benützungsmöglichkeit eines Telefons in
der gemeinsamen Wohnung stellt die Ausübung eines besitzfähigen
Rechts durch beide Mitbesitzer dar, wobei Eingriffe in die
bestehende Gebrauchsordnung Besitzstörungshandlungen sind. Wer
gegenüber der Fernmeldebehörde Vertragspartner ist und somit als
Fernsprechteilnehmer aufscheint, ist für eine Besitzstörung
unerheblich. Der Einwand, wonach der Kläger die Kosten des
Telefonanschlusses getragen hätte, ist im Besitzstörungsverfahren
ebenfalls unbeachtlich, weil die Verpflichtung zur Kostentragung im
Innenverhältnis in diesem Prozess irrelevant ist (LGZ Wien EF
51.389, 109.042). Maßgeblich für das Vorliegen einer Besitzstörung
ist in diesem Zusammenhang, dass der Ehegatte insofern im
(Mit)Besitz des Telefonanschlusses war, als er dort – unabhängig
von der Frage, wer Anschlussinhaber ist – unter der konkreten
Telefonnummer (LGZ Wien EF 89.918) Telefonate tätigen und
entgegennehmen konnte, und dass ihm das Telefonieren in der Wohnung
in der Folge nicht mehr möglich war. Das Abmelden des bisher
gemeinsam benutzten Telefons (LGZ Wien EF 111.023) bzw die
Veranlassung der Aktivsperre des Telefons (LGZ Wien EF 111.023),
die Verhinderung der Benutzung des Telefons durch dessen Entfernung
(LGZ Wien EF 40.966f) oder das Anbringen eines Schlosses am
Telefongerät (LGZ Wien EF 111.023) sind Besitzstörungen, die dazu
führen, dass der beklagte Ehegatte den früheren Zustand durch
Wiederanmeldung des Anschlusses bzw Zurückstellung des Geräts
wiederherstellen muss. Besteht die bisherige Gebrauchsordnung
darin, dass zwei Festnetzanschlüsse in der Ehewohnung verwendet
werden, so wird durch die einseitige Anbringung einer Aktivsperre
an einem dieser Anschlüsse eine Besitzstörung verwirklicht (LGZ
Wien EF 96.864) (Ehe- und Partnerschaftsrecht, Kommentar,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zu § 339 ABGB, 4.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Ehegatte, der das Telefon der Ehewohnung abmeldet, kann dem
Begehren des anderen, festzustellen, dass dieser ihn im Besitz des
Telefons gestört habe, und auszusprechen, dass er verpflichtet sei,
sich künftig derartiger Störungen zu enthalten und den vorigen
Zustand durch entsprechende Erklärung gegenüber der zuständigen
Stelle wieder herzustellen, nicht mit Erfolg entgegnen, die
Wiederherstellung sei nicht möglich, weil als
Wiederherstellungsmaßnahme nur ein neuer Antrag auf Anschluss eines
Telefonapparats gestellt werden könne. Im Besitzstörungsverfahren
hat der Kläger nicht nur ein Interesse an der Wiederherstellung,
sondern auch an der Feststellung der Störung und dem an den
Beklagten gerichteten Verbot einer künftigen Störung (LGZ Wien EF
36.080).</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Zahlungspflicht für die Telefonkosten ist im
Besitzstörungsverfahren bedeutungslos; dem Beklagten ist daher der
Einwand stark ansteigender Telefonkosten regelmäßig verwehrt, wenn
er auch die Möglichkeit hat, mittels Klage (oder bei besonders
dringlichen Fällen mittels EV) vorzugehen (LGZ Wien EF 56.873,
107.997). Nur in Ausnahmefällen, in denen sogar eine EV zu spät
käme, wird dem Ehegatten ein Selbsthilferecht eingeräumt. Eine
solche Konstellation liegt etwa dann vor, wenn innerhalb kurzer
Zeit (beispielsweise binnen 24 Stunden) infolge des Verhalten des
Beklagten extrem hohe Telefongebühren anfallen und diese nicht
einmal mit einer EV vor Eintritt des Schadens unterbunden werden
können (LGZ Wien EF 63.018, 107.997); nicht hingegen dann, wenn der
Beklagte entgegen der bisherigen Gebrauchsordnung einmal eine
außergewöhnlich hohe Telefonrechnung verursacht hat (LGZ Wien EF
48.499 [ca EUR 140,–]).</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Auszug aus der gemeinsamen Ehewohnung: Das Ausziehen eines
Ehegatten aus der gemeinsamen Wohnung kann eine Besitzaufgabe
bedeuten, dies ist jedoch im Einzelfall sorgfältig zu prüfen. Im
Zweifel ist eine Besitzaufgabe nicht zu vermuten LGZ Wien EF
123.569 uva), und zwar auch dann nicht, wenn ein Ehegatte
freiwillig aus der Ehewohnung mit dem Willen auszieht, die
Ehegemeinschaft endgültig aufzuheben (LGZ Wien 119.989). Vom
Willen, das eheliche Zusammenleben zu beenden, ist somit nicht
schon auf den Willen, auch den Besitz an der Ehewohnung aufzugeben,
zu schließen. Der Mitbesitz an der Wohnung und an
Hausratsgegenständen geht daher im Allgemeinen nicht verloren, wenn
der Ehegatte die Wohnung infolge gewisser Umstände tatsächlich
nicht mehr bewohnt, weil gem § 351 ABGB der bloße
Nichtgebrauch eines Rechts noch nicht zum Besitzverlust führt (LGZ
Wien EF 93.259).</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schlüssige Besitzaufgabe liegt nur dann vor, wenn aufgrund
besonderer Umstände des Einzelfalls ein Verhalten vernünftigerweise
keine andere Deutung zulässt (LGZ Wien EF 123.569 uva) und die
Willensbildung des Ehegatten eindeutig im Sinne einer Aufgabe des
Besitzes zu werten ist. Durch die urlaubsbedingte Abwesenheit ist
ein Verzicht auf Besitzrechte an der Ehewohnung und den darin
befindlichen Gegenständen selbstverständlich nicht gegeben (LGZ
Wien EF 96.861).</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Behalten des Wohnungsschlüssels spricht im Allgemeinen
eindeutig gegen die Absicht der Besitzaufgabe (LGZ Wien EF 123.569
uva). Dies gilt auch dann, wenn ein endgültiger Auszug erfolgt ist.
Wenn ein Ehegatte die Wohnung noch von Zeit zu Zeit aufsucht, über
den Wohnungsschlüssel verfügt und in der Wohnung auch noch Sachen
hat, kann daher nicht von einer Aufgabe des Besitzes an der Wohnung
gesprochen werden (LGZ Wien 93.261)</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durch Unterlassung: Eine Unterlassung stellt
keine Besitzstörung iSd § 339 ABGB dar. Daher wird etwa durch
das Unterbleiben der Zahlung der Kreditraten für die Anschaffung
der Ehewohnung der Besitz an ihr nicht gestört (LGZ Wien EF
87.133), weil dem Bankinstitut nicht die Möglichkeit offen steht,
dem Besitzer im Fall eines Leistungsverzugs die Benutzung der
Wohnung unmittelbar zu entziehen. Ein bisher bestehender
Rechtsbesitz verschafft einem Ehegatten keinen Rechtsanspruch auf
künftige Zahlungen. Überdies können Forderungen, die erst künftig
fällig werden, schon begrifflich nicht einem Anspruch auf
Wiederherstellung des früheren Zustands zugeordnet werden.</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Unterlassen einer bisher regelmäßig erbrachten Leistung
(bspw die Zahlung der Telefongebühren oder Energiekosten durch
einen Ehegatten) kann nur dann ausnahmsweise eine Störung des
Rechtsbesitzes darstellen, wenn der bisher Zahlende zugleich seine
Verpflichtung überhaupt bestreitet (LGZ Wien EF 51.386,
93.257).</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eigenmächtiger Eingriff in den Besitz einer Wohnung im
Sinne dieser Rechtsprechung kann nicht nur durch Kündigung des
Strom- und Gasbezugsvertrags, sondern ebenfalls durch die
Unterlassung der Zahlung der Rechnungen erfolgen, welche dann eine
Einstellung der Strom- und Gaslieferungen zur Folge hat (LGZ Wien
EF 51.388, 71.986, 114.025). Auch ein solches Verhalten ist
gem § 339 ABGB grundsätzlich verboten (LGZ Wien EF
71.986, 111.023). Werden hingegen die Rechnungen nicht (mehr)
bezahlt und kommt es dennoch nicht zum Eintritt einer Störung des
Rechtsbesitzes in Form des Rechts auf Strom- und Gasbezugs, ist die
Besitzstörungsklage nicht berechtigt (LGZ Wien EF 71.987, 114.025,
117.166).</w:t>
      </w:r>
    </w:p>
    <w:p>
      <w:pPr>
        <w:numPr>
          <w:ilvl w:val="0"/>
          <w:numId w:val="24511373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diesen Leitsätzen der Rechtsprechung löst somit das bloße
Unterlassen weiterer Zahlungen – im Gegensatz zur Einstellung der
bisher erbrachten Leistungen mit gleichzeitiger Bestreitung der
Zahlungsverpflichtung dem Grunde nach – keine im
Besitzstörungsverfahren bekämpfbare Beeinträchtigung des letzten
Besitzstandes aus. In der Praxis wird diese Differenzierung aber
nur selten klar vorzunehmen sein und regelmäßig vom
Aussageverhalten des Beklagten und von den Umständen des
Einzelfalls abhängen.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11373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5157938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4474259">
    <w:multiLevelType w:val="hybridMultilevel"/>
    <w:lvl w:ilvl="0" w:tplc="13505797">
      <w:start w:val="1"/>
      <w:numFmt w:val="decimal"/>
      <w:lvlText w:val="%1."/>
      <w:lvlJc w:val="left"/>
      <w:pPr>
        <w:ind w:left="720" w:hanging="360"/>
      </w:pPr>
    </w:lvl>
    <w:lvl w:ilvl="1" w:tplc="13505797" w:tentative="1">
      <w:start w:val="1"/>
      <w:numFmt w:val="lowerLetter"/>
      <w:lvlText w:val="%2."/>
      <w:lvlJc w:val="left"/>
      <w:pPr>
        <w:ind w:left="1440" w:hanging="360"/>
      </w:pPr>
    </w:lvl>
    <w:lvl w:ilvl="2" w:tplc="13505797" w:tentative="1">
      <w:start w:val="1"/>
      <w:numFmt w:val="lowerRoman"/>
      <w:lvlText w:val="%3."/>
      <w:lvlJc w:val="right"/>
      <w:pPr>
        <w:ind w:left="2160" w:hanging="180"/>
      </w:pPr>
    </w:lvl>
    <w:lvl w:ilvl="3" w:tplc="13505797" w:tentative="1">
      <w:start w:val="1"/>
      <w:numFmt w:val="decimal"/>
      <w:lvlText w:val="%4."/>
      <w:lvlJc w:val="left"/>
      <w:pPr>
        <w:ind w:left="2880" w:hanging="360"/>
      </w:pPr>
    </w:lvl>
    <w:lvl w:ilvl="4" w:tplc="13505797" w:tentative="1">
      <w:start w:val="1"/>
      <w:numFmt w:val="lowerLetter"/>
      <w:lvlText w:val="%5."/>
      <w:lvlJc w:val="left"/>
      <w:pPr>
        <w:ind w:left="3600" w:hanging="360"/>
      </w:pPr>
    </w:lvl>
    <w:lvl w:ilvl="5" w:tplc="13505797" w:tentative="1">
      <w:start w:val="1"/>
      <w:numFmt w:val="lowerRoman"/>
      <w:lvlText w:val="%6."/>
      <w:lvlJc w:val="right"/>
      <w:pPr>
        <w:ind w:left="4320" w:hanging="180"/>
      </w:pPr>
    </w:lvl>
    <w:lvl w:ilvl="6" w:tplc="13505797" w:tentative="1">
      <w:start w:val="1"/>
      <w:numFmt w:val="decimal"/>
      <w:lvlText w:val="%7."/>
      <w:lvlJc w:val="left"/>
      <w:pPr>
        <w:ind w:left="5040" w:hanging="360"/>
      </w:pPr>
    </w:lvl>
    <w:lvl w:ilvl="7" w:tplc="13505797" w:tentative="1">
      <w:start w:val="1"/>
      <w:numFmt w:val="lowerLetter"/>
      <w:lvlText w:val="%8."/>
      <w:lvlJc w:val="left"/>
      <w:pPr>
        <w:ind w:left="5760" w:hanging="360"/>
      </w:pPr>
    </w:lvl>
    <w:lvl w:ilvl="8" w:tplc="13505797" w:tentative="1">
      <w:start w:val="1"/>
      <w:numFmt w:val="lowerRoman"/>
      <w:lvlText w:val="%9."/>
      <w:lvlJc w:val="right"/>
      <w:pPr>
        <w:ind w:left="6480" w:hanging="180"/>
      </w:pPr>
    </w:lvl>
  </w:abstractNum>
  <w:abstractNum w:abstractNumId="44474258">
    <w:multiLevelType w:val="hybridMultilevel"/>
    <w:lvl w:ilvl="0" w:tplc="44058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74258">
    <w:abstractNumId w:val="44474258"/>
  </w:num>
  <w:num w:numId="44474259">
    <w:abstractNumId w:val="44474259"/>
  </w:num>
  <w:num w:numId="651579385">
    <w:abstractNumId w:val="651579385"/>
  </w:num>
  <w:num w:numId="245113736">
    <w:abstractNumId w:val="2451137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00755507" Type="http://schemas.openxmlformats.org/officeDocument/2006/relationships/numbering" Target="numbering.xml"/><Relationship Id="rId73650778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