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2280014" w:name="document"/>
    <w:bookmarkEnd w:id="92280014"/>
    <w:p/>
    <w:p>
      <w:pPr>
        <w:widowControl w:val="on"/>
        <w:pBdr/>
        <w:spacing w:before="0" w:after="280" w:line="240" w:lineRule="auto"/>
        <w:ind w:left="0" w:right="0"/>
        <w:jc w:val="left"/>
      </w:pPr>
      <w:r>
        <w:rPr>
          <w:rFonts w:ascii="Arial" w:hAnsi="Arial" w:eastAsia="Arial" w:cs="Arial"/>
          <w:color w:val="363A40"/>
          <w:sz w:val="24"/>
          <w:szCs w:val="24"/>
        </w:rPr>
        <w:t xml:space="preserve">Dokument-ID: 1033069 | Alexandra Cervinka |
Muster | Checkliste</w:t>
      </w:r>
    </w:p>
    <w:p>
      <w:pPr>
        <w:widowControl w:val="on"/>
        <w:pBdr/>
        <w:spacing w:before="340" w:after="220" w:line="268" w:lineRule="auto"/>
        <w:ind w:left="0" w:right="0"/>
        <w:jc w:val="left"/>
        <w:outlineLvl w:val="0"/>
      </w:pPr>
      <w:r>
        <w:rPr>
          <w:rFonts w:ascii="Arial" w:hAnsi="Arial" w:eastAsia="Arial" w:cs="Arial"/>
          <w:color w:val="363A40"/>
          <w:sz w:val="36"/>
          <w:szCs w:val="36"/>
        </w:rPr>
        <w:t xml:space="preserve">Besitzstörung unter Ehegatten, eingetragenen Partnern und
Lebensgefährten</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Besitzstörungsklagen sind auch zwischen Mitbesitzern und somit
auch zwischen Ehegatten, eingetragenen Partnern und Lebensgefährten
zulässig. Bei Mitbesitzern liegt eine Besitzstörung dann vor, wenn
einer der Mitbesitzer dem anderen eigenmächtig die Sache entzieht
und ihn dadurch von der Benutzung überhaupt ausschließt oder die
bisherige Gebrauchsordnung erheblich stört (LGZ Wien EF 51.383,
63.010, 117.164 uva). Dies zeigt sich in der Regel daran, dass sich
ein Mitbesitzer wie ein Alleinbesitzer verhält und die bisherigen
Benützungsverhältnisse dadurch erheblich verändert. Zwischen
Mitbesitzern kommt es also nicht darauf an, welche Gebrauchsrechte
bestehen, sondern lediglich darauf, welche bindende
Gebrauchsordnung zuletzt tatsächlich bestand. Beurteilungsmaßstab
für das Vorliegen einer (nicht einvernehmlichen) Veränderung des
faktischen Zustands als Ausgangspunkt für die Qualifizierung von
Eingriffen als Besitzstörungshandlungen ist daher die bisherige
Ausübung des Mitbesitzes (1 Ob 213/07s;
</w:t>
      </w:r>
      <w:r>
        <w:rPr>
          <w:rFonts w:ascii="Arial" w:hAnsi="Arial" w:eastAsia="Arial" w:cs="Arial"/>
          <w:i/>
          <w:iCs/>
          <w:color w:val="000000"/>
          <w:sz w:val="20"/>
          <w:szCs w:val="20"/>
        </w:rPr>
        <w:t xml:space="preserve">Gitschthaler/Höllwerth,</w:t>
      </w:r>
      <w:r>
        <w:rPr>
          <w:rFonts w:ascii="Arial" w:hAnsi="Arial" w:eastAsia="Arial" w:cs="Arial"/>
          <w:color w:val="000000"/>
          <w:sz w:val="20"/>
          <w:szCs w:val="20"/>
        </w:rPr>
        <w:t xml:space="preserve"> § 339 ABGB
</w:t>
      </w:r>
      <w:r>
        <w:rPr>
          <w:rFonts w:ascii="Arial" w:hAnsi="Arial" w:eastAsia="Arial" w:cs="Arial"/>
          <w:i/>
          <w:iCs/>
          <w:color w:val="000000"/>
          <w:sz w:val="20"/>
          <w:szCs w:val="20"/>
        </w:rPr>
        <w:t xml:space="preserve">[Beck]</w:t>
      </w:r>
      <w:r>
        <w:rPr>
          <w:rFonts w:ascii="Arial" w:hAnsi="Arial" w:eastAsia="Arial" w:cs="Arial"/>
          <w:color w:val="000000"/>
          <w:sz w:val="20"/>
          <w:szCs w:val="20"/>
        </w:rPr>
        <w:t xml:space="preserve">)</w:t>
      </w:r>
      <w:r>
        <w:rPr>
          <w:rFonts w:ascii="Arial" w:hAnsi="Arial" w:eastAsia="Arial" w:cs="Arial"/>
          <w:i/>
          <w:iCs/>
          <w:color w:val="000000"/>
          <w:sz w:val="20"/>
          <w:szCs w:val="20"/>
        </w:rPr>
        <w:t xml:space="preserve">.</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Besitzstörung unter Ehegatten liegt vor, wenn die
Gebrauchsordnung wesentlich gestört oder einer der Ehegatten vom
anderen von der Benutzung einer Sache ausgeschlossen wird (EFSlg
29.312; EFSlg 66.182, EFSlg 68.932, EFSlg 75.253 ua). Nimmt bspw
ein Ehegatte das gemeinsame Sparbuch eigenmächtig aus dem Banksafe,
wird die zwischen den Ehegatten bestehende Gebrauchsordnung im
Hinblick auf das Vorhandensein dieses Sparbuchs im gemeinsamen Safe
wesentlich gestört und der andere Ehegatte vom Zugriff auf das
gemeinsame Sparbuch ausgeschlossen, sodass eine Störung seines
Mitbesitzes am Sparbuch vorliegt (LGZ Wien EF 93.270). Die Beiträge
der Ehegatten zum Zustandekommen des Sparguthabens und die Frage
seiner Zugehörigkeit zum Aufteilungsvermögen iSd § 81 EheG
sind hingegen im Besitzstörungsverfahren unerheblich.</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Ehewohnung und Einrichtung:</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Den beiden Ehegatten steht nicht nur an der Ehewohnung
Mitbesitz zu (EFSlg 48.480, EFSlg 75.242 ua), sondern auch an den
in der ehelichen Wohnung befindlichen Hausrats- und
Einrichtungsgegenständen, wobei der Frage, ob diese Gegenstände vor
oder während der Ehe angeschafft wurden bzw in wessen Eigentum sie
stehen, keine Bedeutung zukommt (MietSlg 27.035, EFSlg 40.964,
EFSlg 45.927, EFSlg 66.180 ua), was grundsätzlich auch selbst
dadurch keine Änderung erfahren würde, wenn man von einer Aufhebung
der häuslichen Gemeinschaft zwischen den Ehegatten ausginge (EFSlg
56.874, EFSlg 63.020, EFSlg 75.258 ua).</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Mitbesitz der Ehegatten besteht auch an in der Ehewohnung
befindlichen elektronischen Geräten (vgl EFSlg 45.928).</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Ansicht, dass keine Besitzstörung vorliege, wenn in einem
Haushalt zwei oder mehrere gleichartige Geräte für die Ehegatten
vorhanden sein, trifft nicht zu, weil ein Ehegatte an allen
Gegenständen seinen Besitz ausüben kann (LGZ Wien EF 71.992).</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Besitzstörungen liegen auch dann vor, wenn ein Ehegatte bisher
gemeinsam benutzte Gegenstände aus der Wohnung im Keller versteckt
(LGZ Wien EF 54.104) oder sie in einem dem anderen Ehegatten zwar
zugänglichen Schlafzimmerkasten verwahrt, ihn aber darüber nicht in
Kenntnis setzt, sodass dieser davon ausgehen musste, dass der
Ehegatte diese Sachen bei seinem Auszug aus der Wohnung mitgenommen
hat (LGZ Wien EF 33.673).</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Mitnahme von ausschließlich durch gemeinsame Kinder
benutzten Gegenständen ist nicht als Besitzstörung zu werten.
Werden Sachen, die in der Ehewohnung bisher nur von den Kindern der
Ehegatten benützt wurden, von dem einen Ehegatten aus der Wohnung
gebracht, so liegt keine Entziehung eines Mitbesitzes des anderen
Ehegatten vor, weil durch die Verbringung dieser Sachen keine
beeinträchtigende Störung der Gebrauchsordnung gegeben ist (LGZ
Wien EF 68.933).</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Entfernung von Gegenständen aus der Ehewohnung kann ein
Nachteil entstehen, da diese zuvor zur jederzeitigen Nutzung in der
Ehewohnung zur Verfügung standen. Ein Nachteil iSd § 339 ABGB
kann jedenfalls schon im Durchkreuzen des subjektiven Beliebens
liegen (vgl MietSlg 47.010, ZVR 1997, 200).</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Nachdem Besitz bzw Mitbesitz an beweglichen Sachen durch die
Benützung bzw Mitbenützung erworben wird, hat ein Ehegatte an in
der Wohnung befindlichen Gegenständen, die er noch nie benützt hat,
weder Besitz noch Mitbesitz. Durch die Wegnahme dieser Sachen durch
den anderen Ehegatten kann daher eine bestehende Gebrauchsordnung
zwischen den Ehegatten nicht gestört und eine Besitzstörungsklage
nicht gerechtfertigt werden (LGZ Wien EF 78.339).</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Anbringen eines neuen Schlosses an der Wohnungstür (oder
auch nur am Kellerabteil der Wohnung: LG Salzburg EF 93.271) durch
einen Mitbesitzer, der dem anderen den Schlüssel dazu vorenthält,
stellt eine Entziehungshandlung iS des § 339 ABGB dar, die nur
dann nicht als eigenmächtig zu beurteilen ist, wenn ihr der andere
Mitbesitzer zugestimmt bzw seinen Rechtsbesitz bis zum Zeitpunkt
des Schlusses der mündlichen Verhandlung erster Instanz über die
Besitzstörungsklage freiwillig aufgegeben hat (zum Beispiel LGZ
Wien EF 31.431, 117.165).</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Auch das nur fallweise Verschlossenhalten der Ehewohnung in der
Absicht, dem Ehegatten den Besitz daran nach Gutdünken, wenn auch
nur von Zeit zu Zeit, zu entziehen, erfüllt den Tatbestand der
Besitzstörung. War die Absicht des einen Ehegatten (etwa durch
Versperren der Eingangstür von innen und Steckenlassen des
Schlüssels) darauf ausgerichtet, dem anderen den Besitz an der
Wohnung zumindest zeitweise zu entziehen, wurde es diesem dadurch
unmöglich gemacht, die Wohnung, wann immer er wollte, zu betreten,
sodass dadurch in seinen (Mit)Besitz eingegriffen wurde (LGZ Wien
EF 33.672 = Miet 31.018).</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Wegweisung eines Ehegatten aus der Wohnung mit einer
einstweiligen Verfügung gem § 382b Abs 1 EO als
Instrument der einstweiligen Konfliktregelung berechtigt den
verbliebenen Ehegatten nicht zum Austausch der Türschlösser. Da
eine Besitzaufgabe im Zweifel nicht zu vermuten ist und das
Verlassen der Wohnung unter diesen Umständen nicht freiwillig
erfolgte, kann aus dem Auszug nicht die Schaffung einer neuen
Gebrauchsordnung abgeleitet werden. Der Mitbesitz erlischt somit
nicht durch Wegweisung. Daher liegt eine Besitzstörung vor, wenn
der in der Ehewohnung verbliebene Ehegatte in einem solchen Fall
die Türschlösser austauschen ließ und dem Weggewiesenen keinen
Schlüssel aushändigte (LGZ Wien EF 33.675).</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Pkw: Die Wegnahme eines Pkw stellt eine Entziehung des
typischen Gebrauches dar und begründet hierdurch jedenfalls einen
im Durchkreuzen des subjektiven Beliebens des bisherigen Besitzers
gelegenen Nachteil, weil dieser jederzeit mit dem Fahrzeug fahren
hätte können (vgl EFSlg 84.280).</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Wegnahme des Fahrzeuges durch den Ehegatten, eingetragenen
Partner oder Lebensgefährten stellt eine Entziehung des typischen
Gebrauchs und damit einen Nachteil dar, wie er eine Voraussetzung
für die Qualifizierung als Besitzstörungshandlung bildet. Der
Umstand, dass der Kläger seiner Verpflichtung zur Zahlung der vom
Konto des anderen abgebuchten Versicherungsprämien im
Innenverhältnis nicht nachkommt, rechtfertigt nicht die Wegnahme
des Fahrzeuges (LGZ Wien EF 94.289). Durch solches Verhalten hat
der Beklagte den Rechtsbesitz des Klägers am Pkw eigenmächtig
gestört.</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Telefonanschluss: Die Benützungsmöglichkeit eines Telefons in
der gemeinsamen Wohnung stellt die Ausübung eines besitzfähigen
Rechts durch beide Mitbesitzer dar, wobei Eingriffe in die
bestehende Gebrauchsordnung Besitzstörungshandlungen sind. Wer
gegenüber der Fernmeldebehörde Vertragspartner ist und somit als
Fernsprechteilnehmer aufscheint, ist für eine Besitzstörung
unerheblich. Der Einwand, wonach der Kläger die Kosten des
Telefonanschlusses getragen hätte, ist im Besitzstörungsverfahren
ebenfalls unbeachtlich, weil die Verpflichtung zur Kostentragung im
Innenverhältnis in diesem Prozess irrelevant ist (LGZ Wien EF
51.389, 109.042). Maßgeblich für das Vorliegen einer Besitzstörung
ist in diesem Zusammenhang, dass der Ehegatte insofern im
(Mit)Besitz des Telefonanschlusses war, als er dort – unabhängig
von der Frage, wer Anschlussinhaber ist – unter der konkreten
Telefonnummer (LGZ Wien EF 89.918) Telefonate tätigen und
entgegennehmen konnte, und dass ihm das Telefonieren in der Wohnung
in der Folge nicht mehr möglich war. Das Abmelden des bisher
gemeinsam benutzten Telefons (LGZ Wien EF 111.023) bzw die
Veranlassung der Aktivsperre des Telefons (LGZ Wien EF 111.023),
die Verhinderung der Benutzung des Telefons durch dessen Entfernung
(LGZ Wien EF 40.966f) oder das Anbringen eines Schlosses am
Telefongerät (LGZ Wien EF 111.023) sind Besitzstörungen, die dazu
führen, dass der beklagte Ehegatte den früheren Zustand durch
Wiederanmeldung des Anschlusses bzw Zurückstellung des Geräts
wiederherstellen muss. Besteht die bisherige Gebrauchsordnung
darin, dass zwei Festnetzanschlüsse in der Ehewohnung verwendet
werden, so wird durch die einseitige Anbringung einer Aktivsperre
an einem dieser Anschlüsse eine Besitzstörung verwirklicht (LGZ
Wien EF 96.864) (Ehe- und Partnerschaftsrecht, Kommentar,
</w:t>
      </w:r>
      <w:r>
        <w:rPr>
          <w:rFonts w:ascii="Arial" w:hAnsi="Arial" w:eastAsia="Arial" w:cs="Arial"/>
          <w:i/>
          <w:iCs/>
          <w:color w:val="000000"/>
          <w:sz w:val="20"/>
          <w:szCs w:val="20"/>
        </w:rPr>
        <w:t xml:space="preserve">Gitschthaler-Höllwerth,</w:t>
      </w:r>
      <w:r>
        <w:rPr>
          <w:rFonts w:ascii="Arial" w:hAnsi="Arial" w:eastAsia="Arial" w:cs="Arial"/>
          <w:color w:val="000000"/>
          <w:sz w:val="20"/>
          <w:szCs w:val="20"/>
        </w:rPr>
        <w:t xml:space="preserve"> zu § 339 ABGB, 4.
</w:t>
      </w:r>
      <w:r>
        <w:rPr>
          <w:rFonts w:ascii="Arial" w:hAnsi="Arial" w:eastAsia="Arial" w:cs="Arial"/>
          <w:i/>
          <w:iCs/>
          <w:color w:val="000000"/>
          <w:sz w:val="20"/>
          <w:szCs w:val="20"/>
        </w:rPr>
        <w:t xml:space="preserve">[Beck]</w:t>
      </w:r>
      <w:r>
        <w:rPr>
          <w:rFonts w:ascii="Arial" w:hAnsi="Arial" w:eastAsia="Arial" w:cs="Arial"/>
          <w:color w:val="000000"/>
          <w:sz w:val="20"/>
          <w:szCs w:val="20"/>
        </w:rPr>
        <w:t xml:space="preserve">)</w:t>
      </w:r>
      <w:r>
        <w:rPr>
          <w:rFonts w:ascii="Arial" w:hAnsi="Arial" w:eastAsia="Arial" w:cs="Arial"/>
          <w:i/>
          <w:iCs/>
          <w:color w:val="000000"/>
          <w:sz w:val="20"/>
          <w:szCs w:val="20"/>
        </w:rPr>
        <w:t xml:space="preserve">.</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Ehegatte, der das Telefon der Ehewohnung abmeldet, kann dem
Begehren des anderen, festzustellen, dass dieser ihn im Besitz des
Telefons gestört habe, und auszusprechen, dass er verpflichtet sei,
sich künftig derartiger Störungen zu enthalten und den vorigen
Zustand durch entsprechende Erklärung gegenüber der zuständigen
Stelle wieder herzustellen, nicht mit Erfolg entgegnen, die
Wiederherstellung sei nicht möglich, weil als
Wiederherstellungsmaßnahme nur ein neuer Antrag auf Anschluss eines
Telefonapparats gestellt werden könne. Im Besitzstörungsverfahren
hat der Kläger nicht nur ein Interesse an der Wiederherstellung,
sondern auch an der Feststellung der Störung und dem an den
Beklagten gerichteten Verbot einer künftigen Störung (LGZ Wien EF
36.080).</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Zahlungspflicht für die Telefonkosten ist im
Besitzstörungsverfahren bedeutungslos; dem Beklagten ist daher der
Einwand stark ansteigender Telefonkosten regelmäßig verwehrt, wenn
er auch die Möglichkeit hat, mittels Klage (oder bei besonders
dringlichen Fällen mittels EV) vorzugehen (LGZ Wien EF 56.873,
107.997). Nur in Ausnahmefällen, in denen sogar eine EV zu spät
käme, wird dem Ehegatten ein Selbsthilferecht eingeräumt. Eine
solche Konstellation liegt etwa dann vor, wenn innerhalb kurzer
Zeit (beispielsweise binnen 24 Stunden) infolge des Verhalten des
Beklagten extrem hohe Telefongebühren anfallen und diese nicht
einmal mit einer EV vor Eintritt des Schadens unterbunden werden
können (LGZ Wien EF 63.018, 107.997); nicht hingegen dann, wenn der
Beklagte entgegen der bisherigen Gebrauchsordnung einmal eine
außergewöhnlich hohe Telefonrechnung verursacht hat (LGZ Wien EF
48.499 [ca EUR 140,–]).</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Auszug aus der gemeinsamen Ehewohnung: Das Ausziehen eines
Ehegatten aus der gemeinsamen Wohnung kann eine Besitzaufgabe
bedeuten, dies ist jedoch im Einzelfall sorgfältig zu prüfen. Im
Zweifel ist eine Besitzaufgabe nicht zu vermuten LGZ Wien EF
123.569 uva), und zwar auch dann nicht, wenn ein Ehegatte
freiwillig aus der Ehewohnung mit dem Willen auszieht, die
Ehegemeinschaft endgültig aufzuheben (LGZ Wien 119.989). Vom
Willen, das eheliche Zusammenleben zu beenden, ist somit nicht
schon auf den Willen, auch den Besitz an der Ehewohnung aufzugeben,
zu schließen. Der Mitbesitz an der Wohnung und an
Hausratsgegenständen geht daher im Allgemeinen nicht verloren, wenn
der Ehegatte die Wohnung infolge gewisser Umstände tatsächlich
nicht mehr bewohnt, weil gem § 351 ABGB der bloße
Nichtgebrauch eines Rechts noch nicht zum Besitzverlust führt (LGZ
Wien EF 93.259).</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schlüssige Besitzaufgabe liegt nur dann vor, wenn aufgrund
besonderer Umstände des Einzelfalls ein Verhalten vernünftigerweise
keine andere Deutung zulässt (LGZ Wien EF 123.569 uva) und die
Willensbildung des Ehegatten eindeutig im Sinne einer Aufgabe des
Besitzes zu werten ist. Durch die urlaubsbedingte Abwesenheit ist
ein Verzicht auf Besitzrechte an der Ehewohnung und den darin
befindlichen Gegenständen selbstverständlich nicht gegeben (LGZ
Wien EF 96.861).</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Behalten des Wohnungsschlüssels spricht im Allgemeinen
eindeutig gegen die Absicht der Besitzaufgabe (LGZ Wien EF 123.569
uva). Dies gilt auch dann, wenn ein endgültiger Auszug erfolgt ist.
Wenn ein Ehegatte die Wohnung noch von Zeit zu Zeit aufsucht, über
den Wohnungsschlüssel verfügt und in der Wohnung auch noch Sachen
hat, kann daher nicht von einer Aufgabe des Besitzes an der Wohnung
gesprochen werden (LGZ Wien 93.261)</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Besitzstörung durch Unterlassung: Eine Unterlassung stellt
keine Besitzstörung iSd § 339 ABGB dar. Daher wird etwa durch
das Unterbleiben der Zahlung der Kreditraten für die Anschaffung
der Ehewohnung der Besitz an ihr nicht gestört (LGZ Wien EF
87.133), weil dem Bankinstitut nicht die Möglichkeit offen steht,
dem Besitzer im Fall eines Leistungsverzugs die Benutzung der
Wohnung unmittelbar zu entziehen. Ein bisher bestehender
Rechtsbesitz verschafft einem Ehegatten keinen Rechtsanspruch auf
künftige Zahlungen. Überdies können Forderungen, die erst künftig
fällig werden, schon begrifflich nicht einem Anspruch auf
Wiederherstellung des früheren Zustands zugeordnet werden.</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Unterlassen einer bisher regelmäßig erbrachten Leistung
(bspw die Zahlung der Telefongebühren oder Energiekosten durch
einen Ehegatten) kann nur dann ausnahmsweise eine Störung des
Rechtsbesitzes darstellen, wenn der bisher Zahlende zugleich seine
Verpflichtung überhaupt bestreitet (LGZ Wien EF 51.386,
93.257).</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 eigenmächtiger Eingriff in den Besitz einer Wohnung im
Sinne dieser Rechtsprechung kann nicht nur durch Kündigung des
Strom- und Gasbezugsvertrags, sondern ebenfalls durch die
Unterlassung der Zahlung der Rechnungen erfolgen, welche dann eine
Einstellung der Strom- und Gaslieferungen zur Folge hat (LGZ Wien
EF 51.388, 71.986, 114.025). Auch ein solches Verhalten ist
gem § 339 ABGB grundsätzlich verboten (LGZ Wien EF
71.986, 111.023). Werden hingegen die Rechnungen nicht (mehr)
bezahlt und kommt es dennoch nicht zum Eintritt einer Störung des
Rechtsbesitzes in Form des Rechts auf Strom- und Gasbezugs, ist die
Besitzstörungsklage nicht berechtigt (LGZ Wien EF 71.987, 114.025,
117.166).</w:t>
      </w:r>
    </w:p>
    <w:p>
      <w:pPr>
        <w:numPr>
          <w:ilvl w:val="0"/>
          <w:numId w:val="9341542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diesen Leitsätzen der Rechtsprechung löst somit das bloße
Unterlassen weiterer Zahlungen – im Gegensatz zur Einstellung der
bisher erbrachten Leistungen mit gleichzeitiger Bestreitung der
Zahlungsverpflichtung dem Grunde nach – keine im
Besitzstörungsverfahren bekämpfbare Beeinträchtigung des letzten
Besitzstandes aus. In der Praxis wird diese Differenzierung aber
nur selten klar vorzunehmen sein und regelmäßig vom
Aussageverhalten des Beklagten und von den Umständen des
Einzelfalls abhängen.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415422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5167139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1888443">
    <w:multiLevelType w:val="hybridMultilevel"/>
    <w:lvl w:ilvl="0" w:tplc="26426051">
      <w:start w:val="1"/>
      <w:numFmt w:val="decimal"/>
      <w:lvlText w:val="%1."/>
      <w:lvlJc w:val="left"/>
      <w:pPr>
        <w:ind w:left="720" w:hanging="360"/>
      </w:pPr>
    </w:lvl>
    <w:lvl w:ilvl="1" w:tplc="26426051" w:tentative="1">
      <w:start w:val="1"/>
      <w:numFmt w:val="lowerLetter"/>
      <w:lvlText w:val="%2."/>
      <w:lvlJc w:val="left"/>
      <w:pPr>
        <w:ind w:left="1440" w:hanging="360"/>
      </w:pPr>
    </w:lvl>
    <w:lvl w:ilvl="2" w:tplc="26426051" w:tentative="1">
      <w:start w:val="1"/>
      <w:numFmt w:val="lowerRoman"/>
      <w:lvlText w:val="%3."/>
      <w:lvlJc w:val="right"/>
      <w:pPr>
        <w:ind w:left="2160" w:hanging="180"/>
      </w:pPr>
    </w:lvl>
    <w:lvl w:ilvl="3" w:tplc="26426051" w:tentative="1">
      <w:start w:val="1"/>
      <w:numFmt w:val="decimal"/>
      <w:lvlText w:val="%4."/>
      <w:lvlJc w:val="left"/>
      <w:pPr>
        <w:ind w:left="2880" w:hanging="360"/>
      </w:pPr>
    </w:lvl>
    <w:lvl w:ilvl="4" w:tplc="26426051" w:tentative="1">
      <w:start w:val="1"/>
      <w:numFmt w:val="lowerLetter"/>
      <w:lvlText w:val="%5."/>
      <w:lvlJc w:val="left"/>
      <w:pPr>
        <w:ind w:left="3600" w:hanging="360"/>
      </w:pPr>
    </w:lvl>
    <w:lvl w:ilvl="5" w:tplc="26426051" w:tentative="1">
      <w:start w:val="1"/>
      <w:numFmt w:val="lowerRoman"/>
      <w:lvlText w:val="%6."/>
      <w:lvlJc w:val="right"/>
      <w:pPr>
        <w:ind w:left="4320" w:hanging="180"/>
      </w:pPr>
    </w:lvl>
    <w:lvl w:ilvl="6" w:tplc="26426051" w:tentative="1">
      <w:start w:val="1"/>
      <w:numFmt w:val="decimal"/>
      <w:lvlText w:val="%7."/>
      <w:lvlJc w:val="left"/>
      <w:pPr>
        <w:ind w:left="5040" w:hanging="360"/>
      </w:pPr>
    </w:lvl>
    <w:lvl w:ilvl="7" w:tplc="26426051" w:tentative="1">
      <w:start w:val="1"/>
      <w:numFmt w:val="lowerLetter"/>
      <w:lvlText w:val="%8."/>
      <w:lvlJc w:val="left"/>
      <w:pPr>
        <w:ind w:left="5760" w:hanging="360"/>
      </w:pPr>
    </w:lvl>
    <w:lvl w:ilvl="8" w:tplc="26426051" w:tentative="1">
      <w:start w:val="1"/>
      <w:numFmt w:val="lowerRoman"/>
      <w:lvlText w:val="%9."/>
      <w:lvlJc w:val="right"/>
      <w:pPr>
        <w:ind w:left="6480" w:hanging="180"/>
      </w:pPr>
    </w:lvl>
  </w:abstractNum>
  <w:abstractNum w:abstractNumId="21888442">
    <w:multiLevelType w:val="hybridMultilevel"/>
    <w:lvl w:ilvl="0" w:tplc="4181884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888442">
    <w:abstractNumId w:val="21888442"/>
  </w:num>
  <w:num w:numId="21888443">
    <w:abstractNumId w:val="21888443"/>
  </w:num>
  <w:num w:numId="651671394">
    <w:abstractNumId w:val="651671394"/>
  </w:num>
  <w:num w:numId="934154221">
    <w:abstractNumId w:val="9341542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85747717" Type="http://schemas.openxmlformats.org/officeDocument/2006/relationships/numbering" Target="numbering.xml"/><Relationship Id="rId439363794"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