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01131" w:name="document"/>
    <w:bookmarkEnd w:id="2901131"/>
    <w:p/>
    <w:p>
      <w:pPr>
        <w:widowControl w:val="on"/>
        <w:pBdr/>
        <w:spacing w:before="0" w:after="280" w:line="240" w:lineRule="auto"/>
        <w:ind w:left="0" w:right="0"/>
        <w:jc w:val="left"/>
      </w:pPr>
      <w:r>
        <w:rPr>
          <w:rFonts w:ascii="Arial" w:hAnsi="Arial" w:eastAsia="Arial" w:cs="Arial"/>
          <w:color w:val="363A40"/>
          <w:sz w:val="24"/>
          <w:szCs w:val="24"/>
        </w:rPr>
        <w:t xml:space="preserve">Dokument-ID: 822981 | FORUM Media (red)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Erklärung über die Errichtung einer 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A… B…, Geburtsdatum, Anschrift, errichtet hiermit eine
Gesellschaft mit beschränkter Haftung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Die durch diese Erklärung gegründete Gesellschaft mit
beschränkter Haftung führt die Firma</w:t>
      </w:r>
    </w:p>
    <w:p>
      <w:pPr>
        <w:widowControl w:val="on"/>
        <w:pBdr/>
        <w:spacing w:before="140" w:after="240" w:line="288" w:lineRule="auto"/>
        <w:ind w:left="0" w:right="0"/>
        <w:jc w:val="center"/>
      </w:pPr>
      <w:r>
        <w:rPr>
          <w:rFonts w:ascii="Arial" w:hAnsi="Arial" w:eastAsia="Arial" w:cs="Arial"/>
          <w:color w:val="000000"/>
          <w:sz w:val="20"/>
          <w:szCs w:val="20"/>
        </w:rPr>
        <w:t xml:space="preserve">e… Beteiligungs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Sitz der Gesellschaft ist Wien.</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berechtigt, Zweigniederlassungen im In- und
Ausland zu errichten.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Gegenstand des Unternehmens ist</w:t>
      </w:r>
    </w:p>
    <w:p>
      <w:pPr>
        <w:numPr>
          <w:ilvl w:val="0"/>
          <w:numId w:val="8923430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Beteiligung an Unternehmen im In- und Ausland,</w:t>
      </w:r>
    </w:p>
    <w:p>
      <w:pPr>
        <w:numPr>
          <w:ilvl w:val="0"/>
          <w:numId w:val="8923430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Verwaltung von Beteiligungen an Unternehmen im In- und
Ausland,</w:t>
      </w:r>
    </w:p>
    <w:p>
      <w:pPr>
        <w:numPr>
          <w:ilvl w:val="0"/>
          <w:numId w:val="8923430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Bankgeschäfte sind ausgenommen.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der Gesellschaft beträgt EUR 35.000,– und
wird von A… B… zur Gänze übernommen und zur Hälfte bar
einbezahlt.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Die Gesellschaftsorgane</w:t>
      </w:r>
    </w:p>
    <w:p>
      <w:pPr>
        <w:widowControl w:val="on"/>
        <w:pBdr/>
        <w:spacing w:before="140" w:after="240" w:line="288" w:lineRule="auto"/>
        <w:ind w:left="0" w:right="0"/>
        <w:jc w:val="left"/>
      </w:pPr>
      <w:r>
        <w:rPr>
          <w:rFonts w:ascii="Arial" w:hAnsi="Arial" w:eastAsia="Arial" w:cs="Arial"/>
          <w:color w:val="000000"/>
          <w:sz w:val="20"/>
          <w:szCs w:val="20"/>
        </w:rPr>
        <w:t xml:space="preserve">Die Organe der Gesellschaft sind:</w:t>
      </w:r>
    </w:p>
    <w:p>
      <w:pPr>
        <w:numPr>
          <w:ilvl w:val="0"/>
          <w:numId w:val="4481068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Geschäftsführer,</w:t>
      </w:r>
    </w:p>
    <w:p>
      <w:pPr>
        <w:numPr>
          <w:ilvl w:val="0"/>
          <w:numId w:val="4481068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Generalversammlung.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Der (Die) Geschäftsführer</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Geschäftsführer besorgen die Geschäftsführung der
Gesellschaft und vertreten diese gerichtlich wie
außergerichtlich.</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(Den) Geschäftsführer(n) obliegt insbesondere
</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Führung der Bücher der Gesellschaft,</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Aufstellung des Jahresabschlusses,</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Einberufung der regelmäßig bzw in den besonderen
Anlassfällen (§ 36 GmbHG) abzuhaltenden
Generalversammlung,</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Führung des Protokollbuches (§ 40 Abs 1
GmbHG),</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Übermittlung der Beschlussabschrift an die
Gesellschafter,</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Erstattung meldepflichtiger Mitteilungen an das
Firmenbuchgericht (§ 26 Abs 1, § 29 Abs 4,
§ 30f Abs 1 und § 89 Abs 4 GmbHG),</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Ausübung der Arbeitgeberrechte gegenüber den Dienstnehmern
der Gesellschaft.</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den folgenden Fällen bedürften Geschäftsführungshandlungen
der mittels Beschlusses zu erteilenden Zustimmung der
Gesellschafter:
</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und die Veräußerung von Unternehmungen bzw
Unternehmensbeteiligungen,</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die Veräußerung, die Belastung von Grundstücken und
grundstücksgleichen Rechten aller Art,</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Veräußerung bzw die Verpachtung des Unternehmens bzw eines
Teilbetriebes der Gesellschaft,</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Veräußerung, die Belastung von Wirtschaftsgütern des
Anlagevermögens, sofern der Buchwert dieser Wirtschaftsgüter in
ihrer Gesamtheit im Zeitpunkt des Abschlusses des
Verpflichtungsgeschäftes EUR 20.000,– übersteigt,</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von Wirtschaftsgütern des Anlagevermögens, deren
Anschaffungspreis des einzelnen Wirtschaftsgutes für sich
EUR 20.000,– oder mehrerer Wirtschaftsgüter in ihrer
Gesamtheit EUR 40.000,– übersteigt,</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Eingehen von Darlehens- und/oder Kreditverbindlichkeiten
(bzw gleichartige Verbindlichkeiten, wie etwa Bürgschafts- und/oder
Garantieverbindlichkeiten), sowie das Eingehen von Verpflichtungen,
aus der sich eine laufende Zahlungsverpflichtung der Gesellschaft
ergibt (zB Leasingverträge, Sukzessivlieferverträge etc), sowie der
Abschluss von Verträgen (Warenein- und -verkauf, Dienstverträge
etc), sofern hiedurch eine Verpflichtung oder Belastung der
Gesellschaft im Einzelfall von EUR 20.000,– und/oder pro
Wirtschaftsjahr von EUR 40.000,– überschritten wird,</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Erteilung von Prokuren und Handelsvollmachten,</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Kündigung oder Auflösung von Mietverträgen über
unbewegliche Sachen (Büroräumlichkeiten, Lager etc),</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Abschluss von Geschäften, die nicht zum
Unternehmensgegenstand gehören, oder von Verträgen, die über den
Umfang des laufenden Geschäftsbetriebes hinausgehen oder für die
Gesellschaft von grundsätzlicher Bedeutung (zB Standortverlegung)
sind.</w:t>
      </w:r>
    </w:p>
    <w:p>
      <w:pPr>
        <w:numPr>
          <w:ilvl w:val="1"/>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unter Punkt VI.3.d), e) und f) angeführten Beträge sind
wertgesichert auf der Basis des Verbraucherpreisindex 2000 oder
eines an dessen Stelle tretenden Index. Als Bezugsgröße dient die
für den Monat des Vertragsabschlusses verlautbarte Indexzahl.</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hat einen, zwei oder mehrere
Geschäftsführer.</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Vertretung der Gesellschaft erfolgt, wenn nur ein
Geschäftsführer bestellt ist, durch diesen allein, sind aber zwei
oder mehrere Geschäftsführer bestellt, durch zwei Geschäftsführer
gemeinsam oder durch einen Geschäftsführer gemeinsam mit einem
Prokuristen, soferne im Gesellschaftsvertrag oder durch Beschluss
der Generalversammlung nicht Einzelnen von ihnen selbstständig die
Vertretungsbefugnis erteilt wird.</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vertraglich bestellten Geschäftsführer können nur aus
wichtigen Gründen abberufen werden.</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Geschäftsführer beziehen für ihre Dienstleistung zulasten
der Gesellschaft ein monatliches Entgelt, dessen Zusammensetzung
und Höhe von der Generalversammlung festgesetzt wird.</w:t>
      </w:r>
    </w:p>
    <w:p>
      <w:pPr>
        <w:numPr>
          <w:ilvl w:val="0"/>
          <w:numId w:val="4261985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Gesellschafter A… B… kommt ein Sonderrecht auf
Namhaftmachung eines Geschäftsführers zu.</w:t>
      </w:r>
      <w:r>
        <w:rPr>
          <w:rFonts w:ascii="Arial" w:hAnsi="Arial" w:eastAsia="Arial" w:cs="Arial"/>
          <w:color w:val="000000"/>
          <w:sz w:val="20"/>
          <w:szCs w:val="20"/>
        </w:rPr>
        <w:br/>
        <w:t xml:space="preserve">Der Gesellschafter ist berechtigt, die Person eines
Geschäftsführers zu bestimmen, der von der Generalversammlung zum
Geschäftsführer mit Einzelvertretungsbefugnis zu bestellen
ist.</w:t>
      </w:r>
      <w:r>
        <w:rPr>
          <w:rFonts w:ascii="Arial" w:hAnsi="Arial" w:eastAsia="Arial" w:cs="Arial"/>
          <w:color w:val="000000"/>
          <w:sz w:val="20"/>
          <w:szCs w:val="20"/>
        </w:rPr>
        <w:br/>
        <w:t xml:space="preserve">Die Person des vom Gesellschafter A… B… bestimmten Geschäftsführers
kann auch nur mit den Stimmen des A… B… zum
einzelvertretungsbefugten Geschäftsführer der Gesellschaft bestellt
oder abberufen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VIa. Bestellung des ersten
Geschäftsführers</w:t>
      </w:r>
    </w:p>
    <w:p>
      <w:pPr>
        <w:widowControl w:val="on"/>
        <w:pBdr/>
        <w:spacing w:before="140" w:after="240" w:line="288" w:lineRule="auto"/>
        <w:ind w:left="0" w:right="0"/>
        <w:jc w:val="left"/>
      </w:pPr>
      <w:r>
        <w:rPr>
          <w:rFonts w:ascii="Arial" w:hAnsi="Arial" w:eastAsia="Arial" w:cs="Arial"/>
          <w:color w:val="000000"/>
          <w:sz w:val="20"/>
          <w:szCs w:val="20"/>
        </w:rPr>
        <w:t xml:space="preserve">Zum Geschäftsführer mit der Befugnis zur
selbstständigen/alleinigen Vertretung der e… Beteiligungs GmbH wird
A… B…, Geburtsdatum, Anschrift, bestellt.</w:t>
      </w:r>
    </w:p>
    <w:p>
      <w:pPr>
        <w:widowControl w:val="on"/>
        <w:pBdr/>
        <w:spacing w:before="140" w:after="240" w:line="288" w:lineRule="auto"/>
        <w:ind w:left="0" w:right="0"/>
        <w:jc w:val="left"/>
      </w:pPr>
      <w:r>
        <w:rPr>
          <w:rFonts w:ascii="Arial" w:hAnsi="Arial" w:eastAsia="Arial" w:cs="Arial"/>
          <w:color w:val="000000"/>
          <w:sz w:val="20"/>
          <w:szCs w:val="20"/>
        </w:rPr>
        <w:t xml:space="preserve">A… B… vertritt die Gesellschaft ab Eintragung im Firmenbuch
selbstständig.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Die Generalversammlung</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Generalversammlung ist das oberste Organ der
Gesellschaft.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Ihr obliegt
</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Prüfung und Genehmigung des Jahresabschlusses,</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Verteilung des Reingewinnes,</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Vornahme von Maßnahmen zur Überwachung der
Geschäftsführung,</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Geltendmachung von Ersatzansprüchen gegen die
Geschäftsführer,</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Änderung des Gesellschaftsvertrages,</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Beschlussfassung über die Erhöhung bzw Herabsetzung des
Stammkapitals,</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Zustimmung zur Strukturänderung und Maßnahmen wie
insbesondere zur Veräußerung und/oder Verpachtung des von der
Gesellschaft betriebenen Unternehmens, zu einer durchgreifenden
Änderung des Unternehmensgegenstandes, zur Auflösung der
Gesellschaft, sowie zur Standort-, Sitzverlegung,</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Zustimmung zu Geschäften, deren Abschluss an die
Genehmigung der Gesellschafter gebunden ist, (gemäß Punkt
VI.3.),</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Entscheidungen über die strategische Unternehmensführung,</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Beschlussfassung über die Auflösung der Gesellschaft,</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Bestellung und Abberufung der Geschäftsführer.</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Ordentliche oder außerordentliche Generalversammlungen finden
am Sitze der Gesellschaft statt.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Generalversammlung wird mittels eingeschriebener
Briefsendung unter Anschluss der Tagesordnung einberufen, wobei
zwischen dem Tage der Aufgabe der Einberufung zur Post und dem Tage
der Versammlung ein Zeitraum von mindestens 8 Tagen liegen muss.
Die Ladung hat Tagungsort, Tagungszeit und Tagungsordnung
mitzuteilen.</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Gesellschafterversammlung ist einzuberufen, wenn eine
Beschlussfassung der Gesellschafter erforderlich wird (zB VI.3.)
oder die Einberufung aus einem sonstigen bedeutsamen Grund im
Interesse der Gesellschaft liegt.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Jährlich ist mindestens eine Generalversammlung in den ersten
sechs Monaten des Geschäftsjahres einzuberufen. Zur Einberufung
einer Generalversammlung ist jeder Gesellschafter oder jeder
Geschäftsführer berechtigt.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Versammlung wird von einem Geschäftsführer, sollte ein
solcher nicht anwesend sein, von dem anwesenden Gesellschafter mit
dem größten Geschäftsanteil geleitet.</w:t>
      </w:r>
      <w:r>
        <w:rPr>
          <w:rFonts w:ascii="Arial" w:hAnsi="Arial" w:eastAsia="Arial" w:cs="Arial"/>
          <w:color w:val="000000"/>
          <w:sz w:val="20"/>
          <w:szCs w:val="20"/>
        </w:rPr>
        <w:br/>
        <w:t xml:space="preserve">Der Vorsitzende hat für eine ordnungsgemäße Protokollierung der
Beschlüsse und für eine Eintragung in das Protokollbuch Sorge zu
tragen.</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Beschlussfähigkeit einer Generalversammlung ist es
erforderlich, dass mindestens 60 % des Stammkapitals vertreten
sind. Im Falle der Beschlussunfähigkeit einer Versammlung ist unter
Hinweis darauf eine zweite Versammlung einzuberufen, die auf die
Verhandlung der Gegenstände der früheren Versammlung beschränkt und
ohne Rücksicht auf die Höhe des vertretenen Stammkapitals
beschlussfähig ist.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Ausübung des Stimmrechtes durch einen Bevollmächtigten ist
zulässig, doch bedarf es hiezu einer schriftlichen auf die Ausübung
dieses Rechtes lautenden Vollmacht.</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gesetzlich oder vertraglich nichts anderes geregelt ist,
werden Beschlüsse mit einfacher Mehrheit der abgegebenen Stimmen
gefasst.</w:t>
      </w:r>
      <w:r>
        <w:rPr>
          <w:rFonts w:ascii="Arial" w:hAnsi="Arial" w:eastAsia="Arial" w:cs="Arial"/>
          <w:color w:val="000000"/>
          <w:sz w:val="20"/>
          <w:szCs w:val="20"/>
        </w:rPr>
        <w:br/>
        <w:t xml:space="preserve">Die Bestellung und Abberufung eines Geschäftsführers bedarf einer
Mehrheit von 60 % der abgegebenen Stimmen, wobei der
abzuberufende Gesellschafter-Geschäftsführer stimmberechtigt
ist.</w:t>
      </w:r>
      <w:r>
        <w:rPr>
          <w:rFonts w:ascii="Arial" w:hAnsi="Arial" w:eastAsia="Arial" w:cs="Arial"/>
          <w:color w:val="000000"/>
          <w:sz w:val="20"/>
          <w:szCs w:val="20"/>
        </w:rPr>
        <w:br/>
        <w:t xml:space="preserve">In Angelegenheit, welche gemäß Punkt VI. 3., XI. und XII. des
Gesellschaftsvertrages der Zustimmung der Gesellschaft unterliegen,
bedürfen Beschlüsse zu ihrer Wirksamkeit und ihrem rechtsgültigen
Zustandekommen einer Mehrheit von 60 % der abgegebenen
Stimmen.</w:t>
      </w:r>
      <w:r>
        <w:rPr>
          <w:rFonts w:ascii="Arial" w:hAnsi="Arial" w:eastAsia="Arial" w:cs="Arial"/>
          <w:color w:val="000000"/>
          <w:sz w:val="20"/>
          <w:szCs w:val="20"/>
        </w:rPr>
        <w:br/>
        <w:t xml:space="preserve">Folgende Beschlüsse bedürfen einer Mehrheit von 3/4 (drei Viertel)
der abgegebenen Stimmen:
</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Änderung des Gesellschaftsvertrages, einschließlich des
Betriebsgegenstandes</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der Gesellschaft</w:t>
      </w:r>
    </w:p>
    <w:p>
      <w:pPr>
        <w:numPr>
          <w:ilvl w:val="1"/>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Zustimmung zur Abtretung von Geschäftsanteilen an
gesellschaftsfremde Personen</w:t>
      </w:r>
    </w:p>
    <w:p>
      <w:pPr>
        <w:numPr>
          <w:ilvl w:val="0"/>
          <w:numId w:val="9683447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Gesellschafterbeschlüsse können – sofern das Gesetz dies
zulässt – auch außerhalb der Generalversammlung auf schriftlichem
Wege gefasst werden, doch müssen sich zur Wirksamkeit eines
derartigen Umlaufbeschlusses alle Gesellschafter daran
beteiligen.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Jahresabschluss</w:t>
      </w:r>
    </w:p>
    <w:p>
      <w:pPr>
        <w:widowControl w:val="on"/>
        <w:pBdr/>
        <w:spacing w:before="140" w:after="240" w:line="288" w:lineRule="auto"/>
        <w:ind w:left="0" w:right="0"/>
        <w:jc w:val="left"/>
      </w:pPr>
      <w:r>
        <w:rPr>
          <w:rFonts w:ascii="Arial" w:hAnsi="Arial" w:eastAsia="Arial" w:cs="Arial"/>
          <w:color w:val="000000"/>
          <w:sz w:val="20"/>
          <w:szCs w:val="20"/>
        </w:rPr>
        <w:t xml:space="preserve">Die Bilanz ist als Handels- und Steuerbilanz (Einheitsbilanz)
binnen fünf Monaten seit Ende des Geschäftsjahres aufzustellen und
von sämtlichen Geschäftsführern zu unterschreiben. Die Bilanzierung
hat nach steuerlichen Grundsätzen zu erfolgen, jedoch unter
Beachtung der zwingenden handelsrechtlichen Bestimmungen. Wird der
Jahresabschluss nachträglich berichtigt, insbesondere im Zuge einer
Betriebsprüfung, so ist der berichtigte Abschluss maßgeblich.</w:t>
      </w:r>
    </w:p>
    <w:p>
      <w:pPr>
        <w:widowControl w:val="on"/>
        <w:pBdr/>
        <w:spacing w:before="140" w:after="240" w:line="288" w:lineRule="auto"/>
        <w:ind w:left="0" w:right="0"/>
        <w:jc w:val="left"/>
      </w:pPr>
      <w:r>
        <w:rPr>
          <w:rFonts w:ascii="Arial" w:hAnsi="Arial" w:eastAsia="Arial" w:cs="Arial"/>
          <w:color w:val="000000"/>
          <w:sz w:val="20"/>
          <w:szCs w:val="20"/>
        </w:rPr>
        <w:t xml:space="preserve">Die Genehmigung des Jahresabschlusses erfolgt in der
ordentlichen Generalversammlung.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Gewinnausschüttung</w:t>
      </w:r>
    </w:p>
    <w:p>
      <w:pPr>
        <w:widowControl w:val="on"/>
        <w:pBdr/>
        <w:spacing w:before="140" w:after="240" w:line="288" w:lineRule="auto"/>
        <w:ind w:left="0" w:right="0"/>
        <w:jc w:val="left"/>
      </w:pPr>
      <w:r>
        <w:rPr>
          <w:rFonts w:ascii="Arial" w:hAnsi="Arial" w:eastAsia="Arial" w:cs="Arial"/>
          <w:color w:val="000000"/>
          <w:sz w:val="20"/>
          <w:szCs w:val="20"/>
        </w:rPr>
        <w:t xml:space="preserve">Der Anteil eines Gesellschafters am Gewinn der Gesellschaft
richtet sich nach der Höhe des einbezahlten Geschäftsanteiles. Über
die Verteilung des Bilanzgewinnes beschließt von Jahr zu Jahr die
Generalversammlung. Hierbei kann der ganze Gewinn oder auch nur ein
Teil desselben an die Gesellschafter verteilt, zur Bildung von
Rücklagen herangezogen oder auf neue Rechnung vorgetragen werden.
Kommt kein Beschluss zustande, kann jeder Gesellschafter den auf
ihn gemäß dem Jahresabschluss entfallenden Anteil verlangen. Die
Gesellschafter können nachträglich Gewinnausschüttungen auch für
abgelaufene Geschäftsjahre beschließen.</w:t>
      </w:r>
    </w:p>
    <w:p>
      <w:pPr>
        <w:widowControl w:val="on"/>
        <w:pBdr/>
        <w:spacing w:before="140" w:after="240" w:line="288" w:lineRule="auto"/>
        <w:ind w:left="0" w:right="0"/>
        <w:jc w:val="left"/>
      </w:pPr>
      <w:r>
        <w:rPr>
          <w:rFonts w:ascii="Arial" w:hAnsi="Arial" w:eastAsia="Arial" w:cs="Arial"/>
          <w:color w:val="000000"/>
          <w:sz w:val="20"/>
          <w:szCs w:val="20"/>
        </w:rPr>
        <w:t xml:space="preserve">Gewinnausschüttungen an die Gesellschafter erfolgen erstmals in
dem Geschäftsjahr, in dem Fremdfinanzierungen der Gesellschaft
zurückbezahlt und sonstige Beteiligungen an der Gesellschaft
abgefunden sind. Eine hievon abweichende Beschlussfassung bedarf
eines Beschlusses von zumindest 60 % des Stammkapitals der
Gesellschaft.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Geschäftsjahr, Dauer,
Kündigung</w:t>
      </w:r>
    </w:p>
    <w:p>
      <w:pPr>
        <w:numPr>
          <w:ilvl w:val="0"/>
          <w:numId w:val="9868381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wird auf unbestimmte Zeit errichtet.</w:t>
      </w:r>
    </w:p>
    <w:p>
      <w:pPr>
        <w:numPr>
          <w:ilvl w:val="0"/>
          <w:numId w:val="9868381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1. Geschäftsjahr beginnt mit der Eintragung in das
Firmenbuch und endet mit dem darauffolgenden 31. Dezember. Die
weiteren Geschäftsjahre fallen mit dem Kalenderjahr zusammen.</w:t>
      </w:r>
    </w:p>
    <w:p>
      <w:pPr>
        <w:numPr>
          <w:ilvl w:val="0"/>
          <w:numId w:val="9868381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kann unter Einhaltung einer sechsmonatigen
Kündigungsfrist jeweils zum Ende des Geschäftsjahres schriftlich
aufgekündigt werden.</w:t>
      </w:r>
      <w:r>
        <w:rPr>
          <w:rFonts w:ascii="Arial" w:hAnsi="Arial" w:eastAsia="Arial" w:cs="Arial"/>
          <w:color w:val="000000"/>
          <w:sz w:val="20"/>
          <w:szCs w:val="20"/>
        </w:rPr>
        <w:br/>
        <w:t xml:space="preserve">Die Aufkündigung hat die Auflösung der Gesellschaft zur Folge. Den
übrigen Gesellschaftern steht im Falle einer Aufkündigung ein
Aufgriffsrecht hinsichtlich des Geschäftsanteils des Kündigenden
nach dem Verhältnis ihrer Anteile zueinander zu.</w:t>
      </w:r>
      <w:r>
        <w:rPr>
          <w:rFonts w:ascii="Arial" w:hAnsi="Arial" w:eastAsia="Arial" w:cs="Arial"/>
          <w:color w:val="000000"/>
          <w:sz w:val="20"/>
          <w:szCs w:val="20"/>
        </w:rPr>
        <w:br/>
        <w:t xml:space="preserve">Machen ein oder mehrere Gesellschafter von ihrem Aufgriffsrecht
keinen Gebrauch, so wächst dieses dem oder den verbleibenden
Gesellschaftern nach dem Verhältnis ihrer Anteile zueinander
zu.</w:t>
      </w:r>
      <w:r>
        <w:rPr>
          <w:rFonts w:ascii="Arial" w:hAnsi="Arial" w:eastAsia="Arial" w:cs="Arial"/>
          <w:color w:val="000000"/>
          <w:sz w:val="20"/>
          <w:szCs w:val="20"/>
        </w:rPr>
        <w:br/>
        <w:t xml:space="preserve">Das Aufgriffsrecht ist innerhalb von zwei Monaten ab Postaufgabe
der Kündigung durch eingeschriebenen Brief an die Gesellschaft in
Anspruch zu nehmen.</w:t>
      </w:r>
    </w:p>
    <w:p>
      <w:pPr>
        <w:numPr>
          <w:ilvl w:val="0"/>
          <w:numId w:val="9868381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Kann eine Einigung über den Aufgriffspreis nicht binnen 30
Tagen ab Ausübung des Aufgriffsrechtes erzielt werden, so ist
derselbe wie nachstehend zu ermitteln: Für den Aufgriffspreis ist
der Verkehrswert des Geschäftsanteiles unter Berücksichtigung des
Goodwill des Unternehmens von zwei gerichtlich beeideten
Sachverständigen zu ermitteln.</w:t>
      </w:r>
      <w:r>
        <w:rPr>
          <w:rFonts w:ascii="Arial" w:hAnsi="Arial" w:eastAsia="Arial" w:cs="Arial"/>
          <w:color w:val="000000"/>
          <w:sz w:val="20"/>
          <w:szCs w:val="20"/>
        </w:rPr>
        <w:br/>
        <w:t xml:space="preserve">Jeder der beiden Sachverständigen hat unabhängig von den anderen
ein Gutachten zu erstellen.</w:t>
      </w:r>
      <w:r>
        <w:rPr>
          <w:rFonts w:ascii="Arial" w:hAnsi="Arial" w:eastAsia="Arial" w:cs="Arial"/>
          <w:color w:val="000000"/>
          <w:sz w:val="20"/>
          <w:szCs w:val="20"/>
        </w:rPr>
        <w:br/>
        <w:t xml:space="preserve">Als Wert des Geschäftsanteiles des ausscheidenden Gesellschafters
ist das arithmetische Mittel des von den beiden Sachverständigen
jeweils berechneten Anteilswerts zu nehmen.</w:t>
      </w:r>
      <w:r>
        <w:rPr>
          <w:rFonts w:ascii="Arial" w:hAnsi="Arial" w:eastAsia="Arial" w:cs="Arial"/>
          <w:color w:val="000000"/>
          <w:sz w:val="20"/>
          <w:szCs w:val="20"/>
        </w:rPr>
        <w:br/>
        <w:t xml:space="preserve">Die Bestellung der Sachverständigen hat dermaßen zu erfolgen, dass
der ausscheidende Gesellschafter und die seinen Anteil
übernehmenden Gesellschafter binnen sechs Wochen nach der
Erklärung, vom Aufgriffsrecht Gebrauch zu machen, je einen
Sachverständigen namhaft zu machen haben. Ist einer der Beteiligten
bei der Nominierung der Sachverständigen säumig, so kann auch
dieser von der Gegenseite bestellt werden.</w:t>
      </w:r>
      <w:r>
        <w:rPr>
          <w:rFonts w:ascii="Arial" w:hAnsi="Arial" w:eastAsia="Arial" w:cs="Arial"/>
          <w:color w:val="000000"/>
          <w:sz w:val="20"/>
          <w:szCs w:val="20"/>
        </w:rPr>
        <w:br/>
        <w:t xml:space="preserve">Die Kosten der beiden Gutachten sind je zur Hälfte vom
ausscheidenden und von den übernehmenden Gesellschaftern (bei
diesen im Verhältnis ihrer Anteilsübernahme) zu tragen.</w:t>
      </w:r>
      <w:r>
        <w:rPr>
          <w:rFonts w:ascii="Arial" w:hAnsi="Arial" w:eastAsia="Arial" w:cs="Arial"/>
          <w:color w:val="000000"/>
          <w:sz w:val="20"/>
          <w:szCs w:val="20"/>
        </w:rPr>
        <w:br/>
        <w:t xml:space="preserve">Die Ermittlung des Übernahmepreises hat nach den unter Punkt XI. 3.
angeführten Grundsätzen zu erfolgen.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Geschäftsanteile und Verfügungen
über Geschäftsanteile</w:t>
      </w:r>
    </w:p>
    <w:p>
      <w:pPr>
        <w:numPr>
          <w:ilvl w:val="0"/>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Geschäftsanteile bestimmen sich nach der Höhe der
übernommenen Stammeinlagen. Jedem Gesellschafter steht nur ein
Geschäftsanteil zu.
</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Geschäftsanteile sind übertragbar. Die Abtretung von
Geschäftsanteilen an Personen, die der Gesellschaft nicht schon als
Gesellschafter angehören, bedarf der Zustimmung der
Generalversammlung (3/4-Mehrheit) und steht den übrigen
Gesellschaftern hinsichtlich des abzutretenden Teiles ein
Aufgriffsrecht im Verhältnis ihrer Geschäftsanteile zu.</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Beabsichtigt ein Gesellschafter seinen Gesellschaftsanteil oder
einen Teil desselben an einen Gesellschaftsfremden abzutreten, so
hat er den übrigen Gesellschaftern mit eingeschriebenem Brief, der
an die letzte im Anteilsbuch verzeichnete Adresse zu richten ist,
ein unwiderrufliches, notarielles Kaufanbot des Kaufwilligen, das
eine Annahmefrist von zumindest sechs Wochen ab Postaufgabe des
Verständigungsschreibens aufweist, sowie eine notarielle
Bestätigung über die Hinterlegung des Abtretungspreises zu
übersenden. Den übrigen Gesellschaftern steht hinsichtlich des
abzutretenden Geschäftsanteiles ein Aufgriffsrecht unter den
Bedingungen des Anbotes im Verhältnis ihrer Anteile zueinander zu.
Machen einer oder mehrere Gesellschafter von ihrem Aufgriffsrecht
keinen Gebrauch, so wächst dieses dem oder den verbleibenden
Gesellschaftern nach den Verhältnissen ihrer Anteile zu.</w:t>
      </w:r>
      <w:r>
        <w:rPr>
          <w:rFonts w:ascii="Arial" w:hAnsi="Arial" w:eastAsia="Arial" w:cs="Arial"/>
          <w:color w:val="000000"/>
          <w:sz w:val="20"/>
          <w:szCs w:val="20"/>
        </w:rPr>
        <w:br/>
        <w:t xml:space="preserve">Das Aufgriffsrecht ist innerhalb von 30 Tagen durch Übersendung
eines eingeschriebenen Briefes an den das Anbot erstellt habenden
Notar in Anspruch zu nehmen.</w:t>
      </w:r>
      <w:r>
        <w:rPr>
          <w:rFonts w:ascii="Arial" w:hAnsi="Arial" w:eastAsia="Arial" w:cs="Arial"/>
          <w:color w:val="000000"/>
          <w:sz w:val="20"/>
          <w:szCs w:val="20"/>
        </w:rPr>
        <w:br/>
        <w:t xml:space="preserve">Das Aufgriffsrecht kann von den übernahmewilligen Gesellschaftern
nur hinsichtlich sämtlicher zur Abtretung angebotenen
Geschäftsanteile, nicht aber hinsichtlich von Teilen dieser
Geschäftsanteile ausgeübt werden.</w:t>
      </w:r>
      <w:r>
        <w:rPr>
          <w:rFonts w:ascii="Arial" w:hAnsi="Arial" w:eastAsia="Arial" w:cs="Arial"/>
          <w:color w:val="000000"/>
          <w:sz w:val="20"/>
          <w:szCs w:val="20"/>
        </w:rPr>
        <w:br/>
        <w:t xml:space="preserve">Machen die übrigen Gesellschafter von dem ihnen zukommenden
Aufgriffsrechts keinen Gebrauch oder wird nur die Übernahme von
Teilen des zur Abtretung angebotenen Geschäftsanteiles erklärt, so
gilt dies als Zustimmung der Gesellschaft/der übrigen
Gesellschafter zur Abtretung dieses Geschäftsanteiles an die
gesellschaftsfremde Person.</w:t>
      </w:r>
      <w:r>
        <w:rPr>
          <w:rFonts w:ascii="Arial" w:hAnsi="Arial" w:eastAsia="Arial" w:cs="Arial"/>
          <w:color w:val="000000"/>
          <w:sz w:val="20"/>
          <w:szCs w:val="20"/>
        </w:rPr>
        <w:br/>
        <w:t xml:space="preserve">Ebenfalls ist von einer Zustimmung der Gesellschaft/der übrigen
Gesellschafter zur Abtretung auszugehen, wenn trotz
Übernahmeerklärung des für die Abtretung zu leistenden
Abtretungspreises für den zu übernehmenden Geschäftsanteil nicht
entsprechend den Zahlungskonditionen des
Abtretungsanbotes/Abtretungsvertrages geleistet wird.</w:t>
      </w:r>
      <w:r>
        <w:rPr>
          <w:rFonts w:ascii="Arial" w:hAnsi="Arial" w:eastAsia="Arial" w:cs="Arial"/>
          <w:color w:val="000000"/>
          <w:sz w:val="20"/>
          <w:szCs w:val="20"/>
        </w:rPr>
        <w:br/>
        <w:t xml:space="preserve">Demnach ist der abtretende Gesellschafter bei Zahlungsverzug der
übernahmewilligen Gesellschafter oder auch nur eines
übernahmewilligen Gesellschafters berechtigt, seinen zur Abtretung
angebotenen Geschäftsanteil ganz oder teilweise an
gesellschaftsfremde Personen abzutreten.</w:t>
      </w:r>
      <w:r>
        <w:rPr>
          <w:rFonts w:ascii="Arial" w:hAnsi="Arial" w:eastAsia="Arial" w:cs="Arial"/>
          <w:color w:val="000000"/>
          <w:sz w:val="20"/>
          <w:szCs w:val="20"/>
        </w:rPr>
        <w:br/>
        <w:t xml:space="preserve">Ebenso bedarf die vertragsmäßige Verpfändung oder sonstige
Belastung, Sicherungsübereignung eines Geschäftsanteiles
einschließlich der Bestellung eines Nießbrauches der Zustimmung der
Generalversammlung.</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Jeder Gesellschafter ist gegenüber den anderen Gesellschaftern
verpflichtet, seinen Geschäftsanteil an die anderen Gesellschafter
im Verhältnis ihrer Geschäftsanteile bei Verletzung einer
wesentlichen Verpflichtung aus diesem Gesellschaftsvertrag, ebenso
wie der einmaligen oder mehrmaligen Verletzung der Verpflichtung zu
Treue und Glauben gegenüber der Gesellschaft abzutreten, wobei der
Abtretungspreis gem X.4. zu ermitteln ist.</w:t>
      </w:r>
      <w:r>
        <w:rPr>
          <w:rFonts w:ascii="Arial" w:hAnsi="Arial" w:eastAsia="Arial" w:cs="Arial"/>
          <w:color w:val="000000"/>
          <w:sz w:val="20"/>
          <w:szCs w:val="20"/>
        </w:rPr>
        <w:br/>
        <w:t xml:space="preserve">In diesem Fall gehen die Kosten des Sachverständigen zur Gänze
zulasten des ausscheidenden Gesellschafters.</w:t>
      </w:r>
    </w:p>
    <w:p>
      <w:pPr>
        <w:numPr>
          <w:ilvl w:val="0"/>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Ermittlung des Abtretungspreises gemäß Pkt 2.d) hat
vom letzten Bilanzstichtag auszugehen. Hiebei sind Grundsätze des
Fachgutachtens „Unternehmensbewertung“, erstattet vom Fachsenat für
Betriebswirtschaft und Organisation des Institutes für
Betriebswirtschaft, Steuerrecht und Organisation der Kammer der
Wirtschaftstreuhänder für den Wert des von der Gesellschaft
getragenen Unternehmens heranzuziehen.</w:t>
      </w:r>
      <w:r>
        <w:rPr>
          <w:rFonts w:ascii="Arial" w:hAnsi="Arial" w:eastAsia="Arial" w:cs="Arial"/>
          <w:color w:val="000000"/>
          <w:sz w:val="20"/>
          <w:szCs w:val="20"/>
        </w:rPr>
        <w:br/>
        <w:t xml:space="preserve">Der Preis des angebotsgegenständlichen Geschäftsteiles verhält sich
zum ermittelten Unternehmenswert, wie sich das Nominale des
Anbotgegenstandes zum Stammkapital der Gesellschaft verhält.</w:t>
      </w:r>
    </w:p>
    <w:p>
      <w:pPr>
        <w:numPr>
          <w:ilvl w:val="0"/>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einer der Gesellschafter
</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geschäftsunfähig wird oder</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sein Vermögen der Konkurs eröffnet oder ein
diesbezüglicher Antrag mangels Vermögens abgewiesen wird,</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seinen Geschäftsanteil nachhaltig Exekution geführt wird,
eine Exekutionsführung auf den Geschäftsanteil vom Gesellschafter
nach Bekanntwerden nicht binnen vier Wochen durch Einstellung
erledigt wird,</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 das Konkurrenzverbot verstößt oder</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sonst mit der Gesellschaft in Wettbewerb tritt,</w:t>
      </w:r>
      <w:r>
        <w:rPr>
          <w:rFonts w:ascii="Arial" w:hAnsi="Arial" w:eastAsia="Arial" w:cs="Arial"/>
          <w:color w:val="000000"/>
          <w:sz w:val="20"/>
          <w:szCs w:val="20"/>
        </w:rPr>
        <w:br/>
        <w:t xml:space="preserve">ist er verpflichtet, diesen Umstand unverzüglich der Gesellschaft
mittels eingeschriebenen Briefes an die Geschäftsführer mitzuteilen
und über Verlangen der Mehrheit der verbleibenden Gesellschafter
seinen Geschäftsanteil an die übrigen aufgriffswilligen
Gesellschafter zu einem Abtretungspreis gemäß Pkt X. 4. zum
Erwerb anzubieten.</w:t>
      </w:r>
    </w:p>
    <w:p>
      <w:pPr>
        <w:numPr>
          <w:ilvl w:val="0"/>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Gesellschafter kann ausgeschlossen werden, wenn die
Generalversammlung mit einer Mehrheit von 60 % des
Stammkapitals feststellt, dass
</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 einen Tatbestand des Punktes 4. verwirklicht hat,</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 einen Tatbestand verwirklicht hat, der bei einem
Angestellten einen Grund für eine vorzeitige Entlassung darstellen
würde,</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sein Vermögen der Konkurs eröffnet oder ein
diesbezüglicher Antrag mangels Vermögens abgewiesen wird,</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seinen Geschäftsanteil nachhaltig Exekution geführt wird,
eine Exekutionsführung auf den Geschäftsanteil vom Gesellschafter
nach Bekanntwerden nicht binnen vier Wochen durch Einstellung
erledigt wird,</w:t>
      </w:r>
    </w:p>
    <w:p>
      <w:pPr>
        <w:numPr>
          <w:ilvl w:val="1"/>
          <w:numId w:val="31992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 gegen das gesetzliche/vertraglich vereinbarte
Konkurrenzverbot verstößt.</w:t>
      </w:r>
      <w:r>
        <w:rPr>
          <w:rFonts w:ascii="Arial" w:hAnsi="Arial" w:eastAsia="Arial" w:cs="Arial"/>
          <w:color w:val="000000"/>
          <w:sz w:val="20"/>
          <w:szCs w:val="20"/>
        </w:rPr>
        <w:br/>
        <w:t xml:space="preserve">Für diesen Fall ist der Gesellschafter verpflichtet, seinen
Geschäftsanteil an die übrigen aufgriffswilligen Gesellschafter zum
Nominale zu übertragen.</w:t>
      </w:r>
      <w:r>
        <w:rPr>
          <w:rFonts w:ascii="Arial" w:hAnsi="Arial" w:eastAsia="Arial" w:cs="Arial"/>
          <w:color w:val="000000"/>
          <w:sz w:val="20"/>
          <w:szCs w:val="20"/>
        </w:rPr>
        <w:br/>
        <w:t xml:space="preserve">Die Gesellschafter bieten daher den Mitgesellschaftern für die
Fälle des Punktes XI. 5. ihren Geschäftsanteil zum Erwerb an und
räumen ihnen ein Aufgriffsrecht ein.</w:t>
      </w:r>
      <w:r>
        <w:rPr>
          <w:rFonts w:ascii="Arial" w:hAnsi="Arial" w:eastAsia="Arial" w:cs="Arial"/>
          <w:color w:val="000000"/>
          <w:sz w:val="20"/>
          <w:szCs w:val="20"/>
        </w:rPr>
        <w:br/>
        <w:t xml:space="preserve">Mit Zugang der Ausschlusserklärung verliert der ausgeschlossene
Gesellschafter alle Rechte aus dem Geschäftsanteil.</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Rechtsnachfolge</w:t>
      </w:r>
    </w:p>
    <w:p>
      <w:pPr>
        <w:numPr>
          <w:ilvl w:val="0"/>
          <w:numId w:val="735686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Falle der Universalsukzession eines Gesellschafters tritt
dessen Universalsukzessor an seine Stelle.</w:t>
      </w:r>
    </w:p>
    <w:p>
      <w:pPr>
        <w:numPr>
          <w:ilvl w:val="0"/>
          <w:numId w:val="735686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jedoch eine Aufsplitterung eines Geschäftsanteiles auf
mehrere gesellschaftsfremde Personen zu vermeiden, können
Geschäftsanteile natürlicher Personen im Wege der Erbfolge zur
Gänze oder teilweise nur an eine gesellschaftsfremde Person
übergehen.</w:t>
      </w:r>
    </w:p>
    <w:p>
      <w:pPr>
        <w:numPr>
          <w:ilvl w:val="0"/>
          <w:numId w:val="735686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Sind mehrere gesellschaftsfremde Personen zur Erbfolge berufen,
so haben sich diese über die Rechtsnachfolge zu einigen.</w:t>
      </w:r>
      <w:r>
        <w:rPr>
          <w:rFonts w:ascii="Arial" w:hAnsi="Arial" w:eastAsia="Arial" w:cs="Arial"/>
          <w:color w:val="000000"/>
          <w:sz w:val="20"/>
          <w:szCs w:val="20"/>
        </w:rPr>
        <w:br/>
        <w:t xml:space="preserve">Kommt eine diesbezügliche Einigung binnen 3-monatiger Frist nicht
zustande, wodurch eine Übertragung nur an eine gesellschaftsfremde
Person im Wege der Erbfolge bewirkt wird, so ist der Anteil des
verstorbenen Gesellschafters, der der gesellschaftsfremden Person
zukommen würde, den übrigen Gesellschaftern zur Übernahme
anzubieten und haben die übrigen Gesellschafter ein gleichartiges
Aufgriffsrecht.</w:t>
      </w:r>
      <w:r>
        <w:rPr>
          <w:rFonts w:ascii="Arial" w:hAnsi="Arial" w:eastAsia="Arial" w:cs="Arial"/>
          <w:color w:val="000000"/>
          <w:sz w:val="20"/>
          <w:szCs w:val="20"/>
        </w:rPr>
        <w:br/>
        <w:t xml:space="preserve">Der Übernahmepreis ist unter Anwendung der Regelung im Punkt X.4.
zu ermitteln. Macht keiner der Gesellschafter von seinem
Aufgriffsrecht Gebrauch, so ist die Übertragung eines
Geschäftsanteiles im Rahmen der Erbfolge an mehrere
gesellschaftsfremde Personen in Abänderung des Punktes XII.2.
zulässig.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Aufgriffsrechte</w:t>
      </w:r>
    </w:p>
    <w:p>
      <w:pPr>
        <w:numPr>
          <w:ilvl w:val="0"/>
          <w:numId w:val="8880739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Falle der
</w:t>
      </w:r>
    </w:p>
    <w:p>
      <w:pPr>
        <w:numPr>
          <w:ilvl w:val="1"/>
          <w:numId w:val="8880739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Eröffnung des Konkursverfahrens über das Vermögen des
Gesellschafters,</w:t>
      </w:r>
    </w:p>
    <w:p>
      <w:pPr>
        <w:numPr>
          <w:ilvl w:val="1"/>
          <w:numId w:val="8880739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Einleitung des exekutionsweisen Verkaufsverfahrens in Ansehung
eines Geschäftsanteiles (§ 76 Abs 4 GmbHG),</w:t>
      </w:r>
    </w:p>
    <w:p>
      <w:pPr>
        <w:numPr>
          <w:ilvl w:val="1"/>
          <w:numId w:val="8880739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Aufkündigung des Gesellschaftsverhältnisses,</w:t>
      </w:r>
      <w:r>
        <w:rPr>
          <w:rFonts w:ascii="Arial" w:hAnsi="Arial" w:eastAsia="Arial" w:cs="Arial"/>
          <w:color w:val="000000"/>
          <w:sz w:val="20"/>
          <w:szCs w:val="20"/>
        </w:rPr>
        <w:br/>
        <w:t xml:space="preserve">ist eine Generalversammlung einzuberufen. Hiebei ist tunlichst eine
einvernehmliche Lösung über das Schicksal des Geschäftsanteiles des
betroffenen Gesellschafters zu finden.</w:t>
      </w:r>
      <w:r>
        <w:rPr>
          <w:rFonts w:ascii="Arial" w:hAnsi="Arial" w:eastAsia="Arial" w:cs="Arial"/>
          <w:color w:val="000000"/>
          <w:sz w:val="20"/>
          <w:szCs w:val="20"/>
        </w:rPr>
        <w:br/>
        <w:t xml:space="preserve">Scheitert dies, dann ist der betroffene Gesellschafter wie ein
Anbotsteller im Sinne des vorigen Vertragspunktes zu
behandeln.</w:t>
      </w:r>
    </w:p>
    <w:p>
      <w:pPr>
        <w:numPr>
          <w:ilvl w:val="0"/>
          <w:numId w:val="8880739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Machen im Falle des Aufgriffs nach Kündigung der Gesellschaft
nicht alle in Betracht kommenden Gesellschafter von ihrem
Aufgriffsrecht Gebrauch, dann ist der mangels Aufgriff offene
Geschäftsanteil (Teil) dem oder den verbleibenden Gesellschaftern
nach dem Verhältnis ihrer Anteile zur Übernahme anzubieten, die
sich binnen 14-tägiger Frist zu äußern haben. In dieser Form ist so
lange vorzugehen, bis ein Aufgriff erfolgt. Kommt es ungeachtet
dieses Verfahrens zu keinem vollständigen Aufgriff des
Geschäftsanteiles des kündigenden Gesellschafters, dann ist die
Gesellschaft aufgelöst.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Änderung des
Gesellschaftsvertrages, Auflösung und Liquidation</w:t>
      </w:r>
    </w:p>
    <w:p>
      <w:pPr>
        <w:numPr>
          <w:ilvl w:val="0"/>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Änderungen des Gesellschaftsvertrages und die Auflösung der
Gesellschaft können nur mit einer Mehrheit von 75 % des
stimmberechtigten Kapitals beschlossen werden, soweit das Gesetz
keine höheren Quoten vorsieht.</w:t>
      </w:r>
    </w:p>
    <w:p>
      <w:pPr>
        <w:numPr>
          <w:ilvl w:val="0"/>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wird aufgelöst:
</w:t>
      </w:r>
    </w:p>
    <w:p>
      <w:pPr>
        <w:numPr>
          <w:ilvl w:val="1"/>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Gesellschafterbeschluss,</w:t>
      </w:r>
    </w:p>
    <w:p>
      <w:pPr>
        <w:numPr>
          <w:ilvl w:val="1"/>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Verschmelzung (§ 96 GmbH-Gesetz),</w:t>
      </w:r>
    </w:p>
    <w:p>
      <w:pPr>
        <w:numPr>
          <w:ilvl w:val="1"/>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Eröffnung des Konkurses über das Vermögen der
Gesellschaft,</w:t>
      </w:r>
    </w:p>
    <w:p>
      <w:pPr>
        <w:numPr>
          <w:ilvl w:val="1"/>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Entscheidung der Verwaltungsbehörden und/oder des
Firmenbuchgerichtes,</w:t>
      </w:r>
    </w:p>
    <w:p>
      <w:pPr>
        <w:numPr>
          <w:ilvl w:val="1"/>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Kündigung, wenn der Geschäftsanteil des kündigenden
Gesellschafters nicht vollständig aufgegriffen wird.</w:t>
      </w:r>
    </w:p>
    <w:p>
      <w:pPr>
        <w:numPr>
          <w:ilvl w:val="0"/>
          <w:numId w:val="1448653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Durchführung der Liquidation ist (sind) der(die)
Geschäftsführer berufen, sofern durch Gesellschafterbeschluss
hinsichtlich der Person der Liquidatoren nicht anderes bestimmt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Diverses</w:t>
      </w:r>
    </w:p>
    <w:p>
      <w:pPr>
        <w:numPr>
          <w:ilvl w:val="0"/>
          <w:numId w:val="467746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mit der Errichtung und Registrierung der Gesellschaft
verbundenen Kosten, Gebühren und Abgaben aller Art werden bis zum
Höchstbetrag von EUR 4.000,– von der Gesellschaft
getragen.</w:t>
      </w:r>
    </w:p>
    <w:p>
      <w:pPr>
        <w:numPr>
          <w:ilvl w:val="0"/>
          <w:numId w:val="467746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Bekanntmachungen der Gesellschaft erfolgen in der „Wiener
Zeitung“.</w:t>
      </w:r>
    </w:p>
    <w:p>
      <w:pPr>
        <w:numPr>
          <w:ilvl w:val="0"/>
          <w:numId w:val="467746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 bevollmächtigen und ermächtigen Herrn Dr. C…
W…, Rechtsanwalt, 1… W…, T…straße in ihrem Namen einen Nachtrag zu
diesem Vertrag zu errichten, soferne dies zur Eintragung der
Gesellschaft in das Firmenbuch erforderlich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74606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4486537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888073902">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3568697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9929613">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8683817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6834474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2619855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481068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23430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306671">
    <w:multiLevelType w:val="hybridMultilevel"/>
    <w:lvl w:ilvl="0" w:tplc="50731681">
      <w:start w:val="1"/>
      <w:numFmt w:val="decimal"/>
      <w:lvlText w:val="%1."/>
      <w:lvlJc w:val="left"/>
      <w:pPr>
        <w:ind w:left="720" w:hanging="360"/>
      </w:pPr>
    </w:lvl>
    <w:lvl w:ilvl="1" w:tplc="50731681" w:tentative="1">
      <w:start w:val="1"/>
      <w:numFmt w:val="lowerLetter"/>
      <w:lvlText w:val="%2."/>
      <w:lvlJc w:val="left"/>
      <w:pPr>
        <w:ind w:left="1440" w:hanging="360"/>
      </w:pPr>
    </w:lvl>
    <w:lvl w:ilvl="2" w:tplc="50731681" w:tentative="1">
      <w:start w:val="1"/>
      <w:numFmt w:val="lowerRoman"/>
      <w:lvlText w:val="%3."/>
      <w:lvlJc w:val="right"/>
      <w:pPr>
        <w:ind w:left="2160" w:hanging="180"/>
      </w:pPr>
    </w:lvl>
    <w:lvl w:ilvl="3" w:tplc="50731681" w:tentative="1">
      <w:start w:val="1"/>
      <w:numFmt w:val="decimal"/>
      <w:lvlText w:val="%4."/>
      <w:lvlJc w:val="left"/>
      <w:pPr>
        <w:ind w:left="2880" w:hanging="360"/>
      </w:pPr>
    </w:lvl>
    <w:lvl w:ilvl="4" w:tplc="50731681" w:tentative="1">
      <w:start w:val="1"/>
      <w:numFmt w:val="lowerLetter"/>
      <w:lvlText w:val="%5."/>
      <w:lvlJc w:val="left"/>
      <w:pPr>
        <w:ind w:left="3600" w:hanging="360"/>
      </w:pPr>
    </w:lvl>
    <w:lvl w:ilvl="5" w:tplc="50731681" w:tentative="1">
      <w:start w:val="1"/>
      <w:numFmt w:val="lowerRoman"/>
      <w:lvlText w:val="%6."/>
      <w:lvlJc w:val="right"/>
      <w:pPr>
        <w:ind w:left="4320" w:hanging="180"/>
      </w:pPr>
    </w:lvl>
    <w:lvl w:ilvl="6" w:tplc="50731681" w:tentative="1">
      <w:start w:val="1"/>
      <w:numFmt w:val="decimal"/>
      <w:lvlText w:val="%7."/>
      <w:lvlJc w:val="left"/>
      <w:pPr>
        <w:ind w:left="5040" w:hanging="360"/>
      </w:pPr>
    </w:lvl>
    <w:lvl w:ilvl="7" w:tplc="50731681" w:tentative="1">
      <w:start w:val="1"/>
      <w:numFmt w:val="lowerLetter"/>
      <w:lvlText w:val="%8."/>
      <w:lvlJc w:val="left"/>
      <w:pPr>
        <w:ind w:left="5760" w:hanging="360"/>
      </w:pPr>
    </w:lvl>
    <w:lvl w:ilvl="8" w:tplc="50731681" w:tentative="1">
      <w:start w:val="1"/>
      <w:numFmt w:val="lowerRoman"/>
      <w:lvlText w:val="%9."/>
      <w:lvlJc w:val="right"/>
      <w:pPr>
        <w:ind w:left="6480" w:hanging="180"/>
      </w:pPr>
    </w:lvl>
  </w:abstractNum>
  <w:abstractNum w:abstractNumId="80306670">
    <w:multiLevelType w:val="hybridMultilevel"/>
    <w:lvl w:ilvl="0" w:tplc="51955025">
      <w:start w:val="1"/>
      <w:numFmt w:val="decimal"/>
      <w:lvlText w:val="%1."/>
      <w:lvlJc w:val="left"/>
      <w:pPr>
        <w:ind w:left="720" w:hanging="360"/>
      </w:pPr>
    </w:lvl>
    <w:lvl w:ilvl="1" w:tplc="51955025" w:tentative="1">
      <w:start w:val="1"/>
      <w:numFmt w:val="lowerLetter"/>
      <w:lvlText w:val="%2."/>
      <w:lvlJc w:val="left"/>
      <w:pPr>
        <w:ind w:left="1440" w:hanging="360"/>
      </w:pPr>
    </w:lvl>
    <w:lvl w:ilvl="2" w:tplc="51955025" w:tentative="1">
      <w:start w:val="1"/>
      <w:numFmt w:val="lowerRoman"/>
      <w:lvlText w:val="%3."/>
      <w:lvlJc w:val="right"/>
      <w:pPr>
        <w:ind w:left="2160" w:hanging="180"/>
      </w:pPr>
    </w:lvl>
    <w:lvl w:ilvl="3" w:tplc="51955025" w:tentative="1">
      <w:start w:val="1"/>
      <w:numFmt w:val="decimal"/>
      <w:lvlText w:val="%4."/>
      <w:lvlJc w:val="left"/>
      <w:pPr>
        <w:ind w:left="2880" w:hanging="360"/>
      </w:pPr>
    </w:lvl>
    <w:lvl w:ilvl="4" w:tplc="51955025" w:tentative="1">
      <w:start w:val="1"/>
      <w:numFmt w:val="lowerLetter"/>
      <w:lvlText w:val="%5."/>
      <w:lvlJc w:val="left"/>
      <w:pPr>
        <w:ind w:left="3600" w:hanging="360"/>
      </w:pPr>
    </w:lvl>
    <w:lvl w:ilvl="5" w:tplc="51955025" w:tentative="1">
      <w:start w:val="1"/>
      <w:numFmt w:val="lowerRoman"/>
      <w:lvlText w:val="%6."/>
      <w:lvlJc w:val="right"/>
      <w:pPr>
        <w:ind w:left="4320" w:hanging="180"/>
      </w:pPr>
    </w:lvl>
    <w:lvl w:ilvl="6" w:tplc="51955025" w:tentative="1">
      <w:start w:val="1"/>
      <w:numFmt w:val="decimal"/>
      <w:lvlText w:val="%7."/>
      <w:lvlJc w:val="left"/>
      <w:pPr>
        <w:ind w:left="5040" w:hanging="360"/>
      </w:pPr>
    </w:lvl>
    <w:lvl w:ilvl="7" w:tplc="51955025" w:tentative="1">
      <w:start w:val="1"/>
      <w:numFmt w:val="lowerLetter"/>
      <w:lvlText w:val="%8."/>
      <w:lvlJc w:val="left"/>
      <w:pPr>
        <w:ind w:left="5760" w:hanging="360"/>
      </w:pPr>
    </w:lvl>
    <w:lvl w:ilvl="8" w:tplc="51955025" w:tentative="1">
      <w:start w:val="1"/>
      <w:numFmt w:val="lowerRoman"/>
      <w:lvlText w:val="%9."/>
      <w:lvlJc w:val="right"/>
      <w:pPr>
        <w:ind w:left="6480" w:hanging="180"/>
      </w:pPr>
    </w:lvl>
  </w:abstractNum>
  <w:abstractNum w:abstractNumId="80306669">
    <w:multiLevelType w:val="hybridMultilevel"/>
    <w:lvl w:ilvl="0" w:tplc="63356659">
      <w:start w:val="1"/>
      <w:numFmt w:val="decimal"/>
      <w:lvlText w:val="%1."/>
      <w:lvlJc w:val="left"/>
      <w:pPr>
        <w:ind w:left="720" w:hanging="360"/>
      </w:pPr>
    </w:lvl>
    <w:lvl w:ilvl="1" w:tplc="63356659" w:tentative="1">
      <w:start w:val="1"/>
      <w:numFmt w:val="lowerLetter"/>
      <w:lvlText w:val="%2."/>
      <w:lvlJc w:val="left"/>
      <w:pPr>
        <w:ind w:left="1440" w:hanging="360"/>
      </w:pPr>
    </w:lvl>
    <w:lvl w:ilvl="2" w:tplc="63356659" w:tentative="1">
      <w:start w:val="1"/>
      <w:numFmt w:val="lowerRoman"/>
      <w:lvlText w:val="%3."/>
      <w:lvlJc w:val="right"/>
      <w:pPr>
        <w:ind w:left="2160" w:hanging="180"/>
      </w:pPr>
    </w:lvl>
    <w:lvl w:ilvl="3" w:tplc="63356659" w:tentative="1">
      <w:start w:val="1"/>
      <w:numFmt w:val="decimal"/>
      <w:lvlText w:val="%4."/>
      <w:lvlJc w:val="left"/>
      <w:pPr>
        <w:ind w:left="2880" w:hanging="360"/>
      </w:pPr>
    </w:lvl>
    <w:lvl w:ilvl="4" w:tplc="63356659" w:tentative="1">
      <w:start w:val="1"/>
      <w:numFmt w:val="lowerLetter"/>
      <w:lvlText w:val="%5."/>
      <w:lvlJc w:val="left"/>
      <w:pPr>
        <w:ind w:left="3600" w:hanging="360"/>
      </w:pPr>
    </w:lvl>
    <w:lvl w:ilvl="5" w:tplc="63356659" w:tentative="1">
      <w:start w:val="1"/>
      <w:numFmt w:val="lowerRoman"/>
      <w:lvlText w:val="%6."/>
      <w:lvlJc w:val="right"/>
      <w:pPr>
        <w:ind w:left="4320" w:hanging="180"/>
      </w:pPr>
    </w:lvl>
    <w:lvl w:ilvl="6" w:tplc="63356659" w:tentative="1">
      <w:start w:val="1"/>
      <w:numFmt w:val="decimal"/>
      <w:lvlText w:val="%7."/>
      <w:lvlJc w:val="left"/>
      <w:pPr>
        <w:ind w:left="5040" w:hanging="360"/>
      </w:pPr>
    </w:lvl>
    <w:lvl w:ilvl="7" w:tplc="63356659" w:tentative="1">
      <w:start w:val="1"/>
      <w:numFmt w:val="lowerLetter"/>
      <w:lvlText w:val="%8."/>
      <w:lvlJc w:val="left"/>
      <w:pPr>
        <w:ind w:left="5760" w:hanging="360"/>
      </w:pPr>
    </w:lvl>
    <w:lvl w:ilvl="8" w:tplc="63356659" w:tentative="1">
      <w:start w:val="1"/>
      <w:numFmt w:val="lowerRoman"/>
      <w:lvlText w:val="%9."/>
      <w:lvlJc w:val="right"/>
      <w:pPr>
        <w:ind w:left="6480" w:hanging="180"/>
      </w:pPr>
    </w:lvl>
  </w:abstractNum>
  <w:abstractNum w:abstractNumId="80306668">
    <w:multiLevelType w:val="hybridMultilevel"/>
    <w:lvl w:ilvl="0" w:tplc="83092562">
      <w:start w:val="1"/>
      <w:numFmt w:val="decimal"/>
      <w:lvlText w:val="%1."/>
      <w:lvlJc w:val="left"/>
      <w:pPr>
        <w:ind w:left="720" w:hanging="360"/>
      </w:pPr>
    </w:lvl>
    <w:lvl w:ilvl="1" w:tplc="83092562" w:tentative="1">
      <w:start w:val="1"/>
      <w:numFmt w:val="lowerLetter"/>
      <w:lvlText w:val="%2."/>
      <w:lvlJc w:val="left"/>
      <w:pPr>
        <w:ind w:left="1440" w:hanging="360"/>
      </w:pPr>
    </w:lvl>
    <w:lvl w:ilvl="2" w:tplc="83092562" w:tentative="1">
      <w:start w:val="1"/>
      <w:numFmt w:val="lowerRoman"/>
      <w:lvlText w:val="%3."/>
      <w:lvlJc w:val="right"/>
      <w:pPr>
        <w:ind w:left="2160" w:hanging="180"/>
      </w:pPr>
    </w:lvl>
    <w:lvl w:ilvl="3" w:tplc="83092562" w:tentative="1">
      <w:start w:val="1"/>
      <w:numFmt w:val="decimal"/>
      <w:lvlText w:val="%4."/>
      <w:lvlJc w:val="left"/>
      <w:pPr>
        <w:ind w:left="2880" w:hanging="360"/>
      </w:pPr>
    </w:lvl>
    <w:lvl w:ilvl="4" w:tplc="83092562" w:tentative="1">
      <w:start w:val="1"/>
      <w:numFmt w:val="lowerLetter"/>
      <w:lvlText w:val="%5."/>
      <w:lvlJc w:val="left"/>
      <w:pPr>
        <w:ind w:left="3600" w:hanging="360"/>
      </w:pPr>
    </w:lvl>
    <w:lvl w:ilvl="5" w:tplc="83092562" w:tentative="1">
      <w:start w:val="1"/>
      <w:numFmt w:val="lowerRoman"/>
      <w:lvlText w:val="%6."/>
      <w:lvlJc w:val="right"/>
      <w:pPr>
        <w:ind w:left="4320" w:hanging="180"/>
      </w:pPr>
    </w:lvl>
    <w:lvl w:ilvl="6" w:tplc="83092562" w:tentative="1">
      <w:start w:val="1"/>
      <w:numFmt w:val="decimal"/>
      <w:lvlText w:val="%7."/>
      <w:lvlJc w:val="left"/>
      <w:pPr>
        <w:ind w:left="5040" w:hanging="360"/>
      </w:pPr>
    </w:lvl>
    <w:lvl w:ilvl="7" w:tplc="83092562" w:tentative="1">
      <w:start w:val="1"/>
      <w:numFmt w:val="lowerLetter"/>
      <w:lvlText w:val="%8."/>
      <w:lvlJc w:val="left"/>
      <w:pPr>
        <w:ind w:left="5760" w:hanging="360"/>
      </w:pPr>
    </w:lvl>
    <w:lvl w:ilvl="8" w:tplc="83092562" w:tentative="1">
      <w:start w:val="1"/>
      <w:numFmt w:val="lowerRoman"/>
      <w:lvlText w:val="%9."/>
      <w:lvlJc w:val="right"/>
      <w:pPr>
        <w:ind w:left="6480" w:hanging="180"/>
      </w:pPr>
    </w:lvl>
  </w:abstractNum>
  <w:abstractNum w:abstractNumId="80306667">
    <w:multiLevelType w:val="hybridMultilevel"/>
    <w:lvl w:ilvl="0" w:tplc="93154466">
      <w:start w:val="1"/>
      <w:numFmt w:val="decimal"/>
      <w:lvlText w:val="%1."/>
      <w:lvlJc w:val="left"/>
      <w:pPr>
        <w:ind w:left="720" w:hanging="360"/>
      </w:pPr>
    </w:lvl>
    <w:lvl w:ilvl="1" w:tplc="93154466" w:tentative="1">
      <w:start w:val="1"/>
      <w:numFmt w:val="lowerLetter"/>
      <w:lvlText w:val="%2."/>
      <w:lvlJc w:val="left"/>
      <w:pPr>
        <w:ind w:left="1440" w:hanging="360"/>
      </w:pPr>
    </w:lvl>
    <w:lvl w:ilvl="2" w:tplc="93154466" w:tentative="1">
      <w:start w:val="1"/>
      <w:numFmt w:val="lowerRoman"/>
      <w:lvlText w:val="%3."/>
      <w:lvlJc w:val="right"/>
      <w:pPr>
        <w:ind w:left="2160" w:hanging="180"/>
      </w:pPr>
    </w:lvl>
    <w:lvl w:ilvl="3" w:tplc="93154466" w:tentative="1">
      <w:start w:val="1"/>
      <w:numFmt w:val="decimal"/>
      <w:lvlText w:val="%4."/>
      <w:lvlJc w:val="left"/>
      <w:pPr>
        <w:ind w:left="2880" w:hanging="360"/>
      </w:pPr>
    </w:lvl>
    <w:lvl w:ilvl="4" w:tplc="93154466" w:tentative="1">
      <w:start w:val="1"/>
      <w:numFmt w:val="lowerLetter"/>
      <w:lvlText w:val="%5."/>
      <w:lvlJc w:val="left"/>
      <w:pPr>
        <w:ind w:left="3600" w:hanging="360"/>
      </w:pPr>
    </w:lvl>
    <w:lvl w:ilvl="5" w:tplc="93154466" w:tentative="1">
      <w:start w:val="1"/>
      <w:numFmt w:val="lowerRoman"/>
      <w:lvlText w:val="%6."/>
      <w:lvlJc w:val="right"/>
      <w:pPr>
        <w:ind w:left="4320" w:hanging="180"/>
      </w:pPr>
    </w:lvl>
    <w:lvl w:ilvl="6" w:tplc="93154466" w:tentative="1">
      <w:start w:val="1"/>
      <w:numFmt w:val="decimal"/>
      <w:lvlText w:val="%7."/>
      <w:lvlJc w:val="left"/>
      <w:pPr>
        <w:ind w:left="5040" w:hanging="360"/>
      </w:pPr>
    </w:lvl>
    <w:lvl w:ilvl="7" w:tplc="93154466" w:tentative="1">
      <w:start w:val="1"/>
      <w:numFmt w:val="lowerLetter"/>
      <w:lvlText w:val="%8."/>
      <w:lvlJc w:val="left"/>
      <w:pPr>
        <w:ind w:left="5760" w:hanging="360"/>
      </w:pPr>
    </w:lvl>
    <w:lvl w:ilvl="8" w:tplc="93154466" w:tentative="1">
      <w:start w:val="1"/>
      <w:numFmt w:val="lowerRoman"/>
      <w:lvlText w:val="%9."/>
      <w:lvlJc w:val="right"/>
      <w:pPr>
        <w:ind w:left="6480" w:hanging="180"/>
      </w:pPr>
    </w:lvl>
  </w:abstractNum>
  <w:abstractNum w:abstractNumId="80306666">
    <w:multiLevelType w:val="hybridMultilevel"/>
    <w:lvl w:ilvl="0" w:tplc="24380944">
      <w:start w:val="1"/>
      <w:numFmt w:val="decimal"/>
      <w:lvlText w:val="%1."/>
      <w:lvlJc w:val="left"/>
      <w:pPr>
        <w:ind w:left="720" w:hanging="360"/>
      </w:pPr>
    </w:lvl>
    <w:lvl w:ilvl="1" w:tplc="24380944" w:tentative="1">
      <w:start w:val="1"/>
      <w:numFmt w:val="lowerLetter"/>
      <w:lvlText w:val="%2."/>
      <w:lvlJc w:val="left"/>
      <w:pPr>
        <w:ind w:left="1440" w:hanging="360"/>
      </w:pPr>
    </w:lvl>
    <w:lvl w:ilvl="2" w:tplc="24380944" w:tentative="1">
      <w:start w:val="1"/>
      <w:numFmt w:val="lowerRoman"/>
      <w:lvlText w:val="%3."/>
      <w:lvlJc w:val="right"/>
      <w:pPr>
        <w:ind w:left="2160" w:hanging="180"/>
      </w:pPr>
    </w:lvl>
    <w:lvl w:ilvl="3" w:tplc="24380944" w:tentative="1">
      <w:start w:val="1"/>
      <w:numFmt w:val="decimal"/>
      <w:lvlText w:val="%4."/>
      <w:lvlJc w:val="left"/>
      <w:pPr>
        <w:ind w:left="2880" w:hanging="360"/>
      </w:pPr>
    </w:lvl>
    <w:lvl w:ilvl="4" w:tplc="24380944" w:tentative="1">
      <w:start w:val="1"/>
      <w:numFmt w:val="lowerLetter"/>
      <w:lvlText w:val="%5."/>
      <w:lvlJc w:val="left"/>
      <w:pPr>
        <w:ind w:left="3600" w:hanging="360"/>
      </w:pPr>
    </w:lvl>
    <w:lvl w:ilvl="5" w:tplc="24380944" w:tentative="1">
      <w:start w:val="1"/>
      <w:numFmt w:val="lowerRoman"/>
      <w:lvlText w:val="%6."/>
      <w:lvlJc w:val="right"/>
      <w:pPr>
        <w:ind w:left="4320" w:hanging="180"/>
      </w:pPr>
    </w:lvl>
    <w:lvl w:ilvl="6" w:tplc="24380944" w:tentative="1">
      <w:start w:val="1"/>
      <w:numFmt w:val="decimal"/>
      <w:lvlText w:val="%7."/>
      <w:lvlJc w:val="left"/>
      <w:pPr>
        <w:ind w:left="5040" w:hanging="360"/>
      </w:pPr>
    </w:lvl>
    <w:lvl w:ilvl="7" w:tplc="24380944" w:tentative="1">
      <w:start w:val="1"/>
      <w:numFmt w:val="lowerLetter"/>
      <w:lvlText w:val="%8."/>
      <w:lvlJc w:val="left"/>
      <w:pPr>
        <w:ind w:left="5760" w:hanging="360"/>
      </w:pPr>
    </w:lvl>
    <w:lvl w:ilvl="8" w:tplc="24380944" w:tentative="1">
      <w:start w:val="1"/>
      <w:numFmt w:val="lowerRoman"/>
      <w:lvlText w:val="%9."/>
      <w:lvlJc w:val="right"/>
      <w:pPr>
        <w:ind w:left="6480" w:hanging="180"/>
      </w:pPr>
    </w:lvl>
  </w:abstractNum>
  <w:abstractNum w:abstractNumId="80306665">
    <w:multiLevelType w:val="hybridMultilevel"/>
    <w:lvl w:ilvl="0" w:tplc="73102683">
      <w:start w:val="1"/>
      <w:numFmt w:val="decimal"/>
      <w:lvlText w:val="%1."/>
      <w:lvlJc w:val="left"/>
      <w:pPr>
        <w:ind w:left="720" w:hanging="360"/>
      </w:pPr>
    </w:lvl>
    <w:lvl w:ilvl="1" w:tplc="73102683" w:tentative="1">
      <w:start w:val="1"/>
      <w:numFmt w:val="lowerLetter"/>
      <w:lvlText w:val="%2."/>
      <w:lvlJc w:val="left"/>
      <w:pPr>
        <w:ind w:left="1440" w:hanging="360"/>
      </w:pPr>
    </w:lvl>
    <w:lvl w:ilvl="2" w:tplc="73102683" w:tentative="1">
      <w:start w:val="1"/>
      <w:numFmt w:val="lowerRoman"/>
      <w:lvlText w:val="%3."/>
      <w:lvlJc w:val="right"/>
      <w:pPr>
        <w:ind w:left="2160" w:hanging="180"/>
      </w:pPr>
    </w:lvl>
    <w:lvl w:ilvl="3" w:tplc="73102683" w:tentative="1">
      <w:start w:val="1"/>
      <w:numFmt w:val="decimal"/>
      <w:lvlText w:val="%4."/>
      <w:lvlJc w:val="left"/>
      <w:pPr>
        <w:ind w:left="2880" w:hanging="360"/>
      </w:pPr>
    </w:lvl>
    <w:lvl w:ilvl="4" w:tplc="73102683" w:tentative="1">
      <w:start w:val="1"/>
      <w:numFmt w:val="lowerLetter"/>
      <w:lvlText w:val="%5."/>
      <w:lvlJc w:val="left"/>
      <w:pPr>
        <w:ind w:left="3600" w:hanging="360"/>
      </w:pPr>
    </w:lvl>
    <w:lvl w:ilvl="5" w:tplc="73102683" w:tentative="1">
      <w:start w:val="1"/>
      <w:numFmt w:val="lowerRoman"/>
      <w:lvlText w:val="%6."/>
      <w:lvlJc w:val="right"/>
      <w:pPr>
        <w:ind w:left="4320" w:hanging="180"/>
      </w:pPr>
    </w:lvl>
    <w:lvl w:ilvl="6" w:tplc="73102683" w:tentative="1">
      <w:start w:val="1"/>
      <w:numFmt w:val="decimal"/>
      <w:lvlText w:val="%7."/>
      <w:lvlJc w:val="left"/>
      <w:pPr>
        <w:ind w:left="5040" w:hanging="360"/>
      </w:pPr>
    </w:lvl>
    <w:lvl w:ilvl="7" w:tplc="73102683" w:tentative="1">
      <w:start w:val="1"/>
      <w:numFmt w:val="lowerLetter"/>
      <w:lvlText w:val="%8."/>
      <w:lvlJc w:val="left"/>
      <w:pPr>
        <w:ind w:left="5760" w:hanging="360"/>
      </w:pPr>
    </w:lvl>
    <w:lvl w:ilvl="8" w:tplc="73102683" w:tentative="1">
      <w:start w:val="1"/>
      <w:numFmt w:val="lowerRoman"/>
      <w:lvlText w:val="%9."/>
      <w:lvlJc w:val="right"/>
      <w:pPr>
        <w:ind w:left="6480" w:hanging="180"/>
      </w:pPr>
    </w:lvl>
  </w:abstractNum>
  <w:abstractNum w:abstractNumId="80306664">
    <w:multiLevelType w:val="hybridMultilevel"/>
    <w:lvl w:ilvl="0" w:tplc="52043890">
      <w:start w:val="1"/>
      <w:numFmt w:val="decimal"/>
      <w:lvlText w:val="%1."/>
      <w:lvlJc w:val="left"/>
      <w:pPr>
        <w:ind w:left="720" w:hanging="360"/>
      </w:pPr>
    </w:lvl>
    <w:lvl w:ilvl="1" w:tplc="52043890" w:tentative="1">
      <w:start w:val="1"/>
      <w:numFmt w:val="lowerLetter"/>
      <w:lvlText w:val="%2."/>
      <w:lvlJc w:val="left"/>
      <w:pPr>
        <w:ind w:left="1440" w:hanging="360"/>
      </w:pPr>
    </w:lvl>
    <w:lvl w:ilvl="2" w:tplc="52043890" w:tentative="1">
      <w:start w:val="1"/>
      <w:numFmt w:val="lowerRoman"/>
      <w:lvlText w:val="%3."/>
      <w:lvlJc w:val="right"/>
      <w:pPr>
        <w:ind w:left="2160" w:hanging="180"/>
      </w:pPr>
    </w:lvl>
    <w:lvl w:ilvl="3" w:tplc="52043890" w:tentative="1">
      <w:start w:val="1"/>
      <w:numFmt w:val="decimal"/>
      <w:lvlText w:val="%4."/>
      <w:lvlJc w:val="left"/>
      <w:pPr>
        <w:ind w:left="2880" w:hanging="360"/>
      </w:pPr>
    </w:lvl>
    <w:lvl w:ilvl="4" w:tplc="52043890" w:tentative="1">
      <w:start w:val="1"/>
      <w:numFmt w:val="lowerLetter"/>
      <w:lvlText w:val="%5."/>
      <w:lvlJc w:val="left"/>
      <w:pPr>
        <w:ind w:left="3600" w:hanging="360"/>
      </w:pPr>
    </w:lvl>
    <w:lvl w:ilvl="5" w:tplc="52043890" w:tentative="1">
      <w:start w:val="1"/>
      <w:numFmt w:val="lowerRoman"/>
      <w:lvlText w:val="%6."/>
      <w:lvlJc w:val="right"/>
      <w:pPr>
        <w:ind w:left="4320" w:hanging="180"/>
      </w:pPr>
    </w:lvl>
    <w:lvl w:ilvl="6" w:tplc="52043890" w:tentative="1">
      <w:start w:val="1"/>
      <w:numFmt w:val="decimal"/>
      <w:lvlText w:val="%7."/>
      <w:lvlJc w:val="left"/>
      <w:pPr>
        <w:ind w:left="5040" w:hanging="360"/>
      </w:pPr>
    </w:lvl>
    <w:lvl w:ilvl="7" w:tplc="52043890" w:tentative="1">
      <w:start w:val="1"/>
      <w:numFmt w:val="lowerLetter"/>
      <w:lvlText w:val="%8."/>
      <w:lvlJc w:val="left"/>
      <w:pPr>
        <w:ind w:left="5760" w:hanging="360"/>
      </w:pPr>
    </w:lvl>
    <w:lvl w:ilvl="8" w:tplc="52043890" w:tentative="1">
      <w:start w:val="1"/>
      <w:numFmt w:val="lowerRoman"/>
      <w:lvlText w:val="%9."/>
      <w:lvlJc w:val="right"/>
      <w:pPr>
        <w:ind w:left="6480" w:hanging="180"/>
      </w:pPr>
    </w:lvl>
  </w:abstractNum>
  <w:abstractNum w:abstractNumId="80306663">
    <w:multiLevelType w:val="hybridMultilevel"/>
    <w:lvl w:ilvl="0" w:tplc="32643310">
      <w:start w:val="1"/>
      <w:numFmt w:val="decimal"/>
      <w:lvlText w:val="%1."/>
      <w:lvlJc w:val="left"/>
      <w:pPr>
        <w:ind w:left="720" w:hanging="360"/>
      </w:pPr>
    </w:lvl>
    <w:lvl w:ilvl="1" w:tplc="32643310" w:tentative="1">
      <w:start w:val="1"/>
      <w:numFmt w:val="lowerLetter"/>
      <w:lvlText w:val="%2."/>
      <w:lvlJc w:val="left"/>
      <w:pPr>
        <w:ind w:left="1440" w:hanging="360"/>
      </w:pPr>
    </w:lvl>
    <w:lvl w:ilvl="2" w:tplc="32643310" w:tentative="1">
      <w:start w:val="1"/>
      <w:numFmt w:val="lowerRoman"/>
      <w:lvlText w:val="%3."/>
      <w:lvlJc w:val="right"/>
      <w:pPr>
        <w:ind w:left="2160" w:hanging="180"/>
      </w:pPr>
    </w:lvl>
    <w:lvl w:ilvl="3" w:tplc="32643310" w:tentative="1">
      <w:start w:val="1"/>
      <w:numFmt w:val="decimal"/>
      <w:lvlText w:val="%4."/>
      <w:lvlJc w:val="left"/>
      <w:pPr>
        <w:ind w:left="2880" w:hanging="360"/>
      </w:pPr>
    </w:lvl>
    <w:lvl w:ilvl="4" w:tplc="32643310" w:tentative="1">
      <w:start w:val="1"/>
      <w:numFmt w:val="lowerLetter"/>
      <w:lvlText w:val="%5."/>
      <w:lvlJc w:val="left"/>
      <w:pPr>
        <w:ind w:left="3600" w:hanging="360"/>
      </w:pPr>
    </w:lvl>
    <w:lvl w:ilvl="5" w:tplc="32643310" w:tentative="1">
      <w:start w:val="1"/>
      <w:numFmt w:val="lowerRoman"/>
      <w:lvlText w:val="%6."/>
      <w:lvlJc w:val="right"/>
      <w:pPr>
        <w:ind w:left="4320" w:hanging="180"/>
      </w:pPr>
    </w:lvl>
    <w:lvl w:ilvl="6" w:tplc="32643310" w:tentative="1">
      <w:start w:val="1"/>
      <w:numFmt w:val="decimal"/>
      <w:lvlText w:val="%7."/>
      <w:lvlJc w:val="left"/>
      <w:pPr>
        <w:ind w:left="5040" w:hanging="360"/>
      </w:pPr>
    </w:lvl>
    <w:lvl w:ilvl="7" w:tplc="32643310" w:tentative="1">
      <w:start w:val="1"/>
      <w:numFmt w:val="lowerLetter"/>
      <w:lvlText w:val="%8."/>
      <w:lvlJc w:val="left"/>
      <w:pPr>
        <w:ind w:left="5760" w:hanging="360"/>
      </w:pPr>
    </w:lvl>
    <w:lvl w:ilvl="8" w:tplc="32643310" w:tentative="1">
      <w:start w:val="1"/>
      <w:numFmt w:val="lowerRoman"/>
      <w:lvlText w:val="%9."/>
      <w:lvlJc w:val="right"/>
      <w:pPr>
        <w:ind w:left="6480" w:hanging="180"/>
      </w:pPr>
    </w:lvl>
  </w:abstractNum>
  <w:abstractNum w:abstractNumId="210335642">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1687081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8403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306662">
    <w:multiLevelType w:val="hybridMultilevel"/>
    <w:lvl w:ilvl="0" w:tplc="18256846">
      <w:start w:val="1"/>
      <w:numFmt w:val="decimal"/>
      <w:lvlText w:val="%1."/>
      <w:lvlJc w:val="left"/>
      <w:pPr>
        <w:ind w:left="720" w:hanging="360"/>
      </w:pPr>
    </w:lvl>
    <w:lvl w:ilvl="1" w:tplc="18256846" w:tentative="1">
      <w:start w:val="1"/>
      <w:numFmt w:val="lowerLetter"/>
      <w:lvlText w:val="%2."/>
      <w:lvlJc w:val="left"/>
      <w:pPr>
        <w:ind w:left="1440" w:hanging="360"/>
      </w:pPr>
    </w:lvl>
    <w:lvl w:ilvl="2" w:tplc="18256846" w:tentative="1">
      <w:start w:val="1"/>
      <w:numFmt w:val="lowerRoman"/>
      <w:lvlText w:val="%3."/>
      <w:lvlJc w:val="right"/>
      <w:pPr>
        <w:ind w:left="2160" w:hanging="180"/>
      </w:pPr>
    </w:lvl>
    <w:lvl w:ilvl="3" w:tplc="18256846" w:tentative="1">
      <w:start w:val="1"/>
      <w:numFmt w:val="decimal"/>
      <w:lvlText w:val="%4."/>
      <w:lvlJc w:val="left"/>
      <w:pPr>
        <w:ind w:left="2880" w:hanging="360"/>
      </w:pPr>
    </w:lvl>
    <w:lvl w:ilvl="4" w:tplc="18256846" w:tentative="1">
      <w:start w:val="1"/>
      <w:numFmt w:val="lowerLetter"/>
      <w:lvlText w:val="%5."/>
      <w:lvlJc w:val="left"/>
      <w:pPr>
        <w:ind w:left="3600" w:hanging="360"/>
      </w:pPr>
    </w:lvl>
    <w:lvl w:ilvl="5" w:tplc="18256846" w:tentative="1">
      <w:start w:val="1"/>
      <w:numFmt w:val="lowerRoman"/>
      <w:lvlText w:val="%6."/>
      <w:lvlJc w:val="right"/>
      <w:pPr>
        <w:ind w:left="4320" w:hanging="180"/>
      </w:pPr>
    </w:lvl>
    <w:lvl w:ilvl="6" w:tplc="18256846" w:tentative="1">
      <w:start w:val="1"/>
      <w:numFmt w:val="decimal"/>
      <w:lvlText w:val="%7."/>
      <w:lvlJc w:val="left"/>
      <w:pPr>
        <w:ind w:left="5040" w:hanging="360"/>
      </w:pPr>
    </w:lvl>
    <w:lvl w:ilvl="7" w:tplc="18256846" w:tentative="1">
      <w:start w:val="1"/>
      <w:numFmt w:val="lowerLetter"/>
      <w:lvlText w:val="%8."/>
      <w:lvlJc w:val="left"/>
      <w:pPr>
        <w:ind w:left="5760" w:hanging="360"/>
      </w:pPr>
    </w:lvl>
    <w:lvl w:ilvl="8" w:tplc="18256846" w:tentative="1">
      <w:start w:val="1"/>
      <w:numFmt w:val="lowerRoman"/>
      <w:lvlText w:val="%9."/>
      <w:lvlJc w:val="right"/>
      <w:pPr>
        <w:ind w:left="6480" w:hanging="180"/>
      </w:pPr>
    </w:lvl>
  </w:abstractNum>
  <w:abstractNum w:abstractNumId="80306661">
    <w:multiLevelType w:val="hybridMultilevel"/>
    <w:lvl w:ilvl="0" w:tplc="82957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06661">
    <w:abstractNumId w:val="80306661"/>
  </w:num>
  <w:num w:numId="80306662">
    <w:abstractNumId w:val="80306662"/>
  </w:num>
  <w:num w:numId="25840358">
    <w:abstractNumId w:val="25840358"/>
  </w:num>
  <w:num w:numId="168708152">
    <w:abstractNumId w:val="168708152"/>
  </w:num>
  <w:num w:numId="210335642">
    <w:abstractNumId w:val="210335642"/>
  </w:num>
  <w:num w:numId="80306663">
    <w:abstractNumId w:val="80306663"/>
  </w:num>
  <w:num w:numId="80306664">
    <w:abstractNumId w:val="80306664"/>
  </w:num>
  <w:num w:numId="80306665">
    <w:abstractNumId w:val="80306665"/>
  </w:num>
  <w:num w:numId="80306666">
    <w:abstractNumId w:val="80306666"/>
  </w:num>
  <w:num w:numId="80306667">
    <w:abstractNumId w:val="80306667"/>
  </w:num>
  <w:num w:numId="80306668">
    <w:abstractNumId w:val="80306668"/>
  </w:num>
  <w:num w:numId="80306669">
    <w:abstractNumId w:val="80306669"/>
  </w:num>
  <w:num w:numId="80306670">
    <w:abstractNumId w:val="80306670"/>
  </w:num>
  <w:num w:numId="80306671">
    <w:abstractNumId w:val="80306671"/>
  </w:num>
  <w:num w:numId="892343037">
    <w:abstractNumId w:val="892343037"/>
  </w:num>
  <w:num w:numId="448106827">
    <w:abstractNumId w:val="448106827"/>
  </w:num>
  <w:num w:numId="426198558">
    <w:abstractNumId w:val="426198558"/>
  </w:num>
  <w:num w:numId="968344748">
    <w:abstractNumId w:val="968344748"/>
  </w:num>
  <w:num w:numId="986838170">
    <w:abstractNumId w:val="986838170"/>
  </w:num>
  <w:num w:numId="319929613">
    <w:abstractNumId w:val="319929613"/>
  </w:num>
  <w:num w:numId="735686978">
    <w:abstractNumId w:val="735686978"/>
  </w:num>
  <w:num w:numId="888073902">
    <w:abstractNumId w:val="888073902"/>
  </w:num>
  <w:num w:numId="144865379">
    <w:abstractNumId w:val="144865379"/>
  </w:num>
  <w:num w:numId="467746063">
    <w:abstractNumId w:val="467746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9573034" Type="http://schemas.openxmlformats.org/officeDocument/2006/relationships/numbering" Target="numbering.xml"/><Relationship Id="rId40398578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