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3049704" w:name="document"/>
    <w:bookmarkEnd w:id="73049704"/>
    <w:p/>
    <w:p>
      <w:pPr>
        <w:widowControl w:val="on"/>
        <w:pBdr/>
        <w:spacing w:before="0" w:after="280" w:line="240" w:lineRule="auto"/>
        <w:ind w:left="0" w:right="0"/>
        <w:jc w:val="left"/>
      </w:pPr>
      <w:r>
        <w:rPr>
          <w:rFonts w:ascii="Arial" w:hAnsi="Arial" w:eastAsia="Arial" w:cs="Arial"/>
          <w:color w:val="363A40"/>
          <w:sz w:val="24"/>
          <w:szCs w:val="24"/>
        </w:rPr>
        <w:t xml:space="preserve">Dokument-ID: 1161463 | Andrea Futterknecht |
Muster | Formular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Anleitung Risikoanalyse Geldwäscherei/Terrorismusfinanzierung
(RA-Kanzlei)</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Anleitung</w:t>
      </w:r>
    </w:p>
    <w:p>
      <w:pPr>
        <w:widowControl w:val="on"/>
        <w:pBdr/>
        <w:spacing w:before="140" w:after="240" w:line="288" w:lineRule="auto"/>
        <w:ind w:left="0" w:right="0"/>
        <w:jc w:val="center"/>
      </w:pPr>
      <w:r>
        <w:rPr>
          <w:rFonts w:ascii="Arial" w:hAnsi="Arial" w:eastAsia="Arial" w:cs="Arial"/>
          <w:color w:val="000000"/>
          <w:sz w:val="20"/>
          <w:szCs w:val="20"/>
        </w:rPr>
        <w:t xml:space="preserve">zur Erstellung einer</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Risikoanalyse für RA -Kanzleien</w:t>
      </w:r>
    </w:p>
    <w:p>
      <w:pPr>
        <w:widowControl w:val="on"/>
        <w:pBdr/>
        <w:spacing w:before="140" w:after="240" w:line="288" w:lineRule="auto"/>
        <w:ind w:left="0" w:right="0"/>
        <w:jc w:val="center"/>
      </w:pPr>
      <w:r>
        <w:rPr>
          <w:rFonts w:ascii="Arial" w:hAnsi="Arial" w:eastAsia="Arial" w:cs="Arial"/>
          <w:b/>
          <w:bCs/>
          <w:color w:val="000000"/>
          <w:sz w:val="20"/>
          <w:szCs w:val="20"/>
        </w:rPr>
        <w:t xml:space="preserve">betreffend die Vermeidung der
Teilnahme an Geldwäscherei und Terrorismusfinanzierung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 Einleitung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Rechtsgrundlagen</w:t>
      </w:r>
    </w:p>
    <w:p>
      <w:pPr>
        <w:widowControl w:val="on"/>
        <w:pBdr/>
        <w:spacing w:before="140" w:after="240" w:line="288" w:lineRule="auto"/>
        <w:ind w:left="0" w:right="0"/>
        <w:jc w:val="left"/>
      </w:pPr>
      <w:r>
        <w:rPr>
          <w:rFonts w:ascii="Arial" w:hAnsi="Arial" w:eastAsia="Arial" w:cs="Arial"/>
          <w:color w:val="000000"/>
          <w:sz w:val="20"/>
          <w:szCs w:val="20"/>
        </w:rPr>
        <w:t xml:space="preserve">Ausgangspunkt ist die Richtlinie (EU) 2015/849 des Europäischen
Parlaments und des Rates vom 20.05.2015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ABl L
141/114 vom 05.06.2015 (nachfolgend kurz „4. GW-RL“) samt den
Anhängen I bis III.</w:t>
      </w:r>
    </w:p>
    <w:p>
      <w:pPr>
        <w:widowControl w:val="on"/>
        <w:pBdr/>
        <w:spacing w:before="140" w:after="240" w:line="288" w:lineRule="auto"/>
        <w:ind w:left="0" w:right="0"/>
        <w:jc w:val="left"/>
      </w:pPr>
      <w:r>
        <w:rPr>
          <w:rFonts w:ascii="Arial" w:hAnsi="Arial" w:eastAsia="Arial" w:cs="Arial"/>
          <w:color w:val="000000"/>
          <w:sz w:val="20"/>
          <w:szCs w:val="20"/>
        </w:rPr>
        <w:t xml:space="preserve">Art 8 Abs 1 der 4. GW-RL verpflichtet die
Mitgliedstaaten dafür sorgen, dass die Verpflichteten (wozu nach
Art 2 Abs (1) Z 3 lit b) auch Rechtsanwälte
zählen) angemessene Schritte unternehmen, um die für sie
bestehenden Risiken der Geldwäsche und Terrorismusfinanzierung
unter Berücksichtigung von Risikofaktoren, einschließlich in Bezug
auf ihre Kunden, Länder oder geografische Gebiete, Produkte,
Dienstleistungen, Transaktionen oder Vertriebskanäle zu ermitteln
und zu bewerten. Diese Schritte stehen in einem angemessenen
Verhältnis zu Art und Größe der Verpflichteten.</w:t>
      </w:r>
    </w:p>
    <w:p>
      <w:pPr>
        <w:widowControl w:val="on"/>
        <w:pBdr/>
        <w:spacing w:before="140" w:after="240" w:line="288" w:lineRule="auto"/>
        <w:ind w:left="0" w:right="0"/>
        <w:jc w:val="left"/>
      </w:pPr>
      <w:r>
        <w:rPr>
          <w:rFonts w:ascii="Arial" w:hAnsi="Arial" w:eastAsia="Arial" w:cs="Arial"/>
          <w:color w:val="000000"/>
          <w:sz w:val="20"/>
          <w:szCs w:val="20"/>
        </w:rPr>
        <w:t xml:space="preserve">Der in Umsetzung dieser Regelung durch das BRÄG 2016 novellierte
§ 8a Abs 3 RAO (idF ab 26.06.2017) lautet:</w:t>
      </w:r>
    </w:p>
    <w:p>
      <w:pPr>
        <w:widowControl w:val="on"/>
        <w:pBdr/>
        <w:spacing w:before="140" w:after="240" w:line="288" w:lineRule="auto"/>
        <w:ind w:left="0" w:right="0"/>
        <w:jc w:val="left"/>
      </w:pPr>
      <w:r>
        <w:rPr>
          <w:rFonts w:ascii="Arial" w:hAnsi="Arial" w:eastAsia="Arial" w:cs="Arial"/>
          <w:i/>
          <w:iCs/>
          <w:color w:val="000000"/>
          <w:sz w:val="20"/>
          <w:szCs w:val="20"/>
        </w:rPr>
        <w:t xml:space="preserve">„Der Rechtsanwalt hat ferner eine Analyse und Bewertung des
für ihn bestehenden Risikos der Inanspruchnahme seiner Tätigkeit zu
Zwecken der Geldwäscherei (§ 165 StGB) und
Terrorismusfinanzierung (§ 278d StGB) durchzuführen, wobei
dies in einem angemessenen Verhältnis zu seiner konkreten
Geschäftstätigkeit und Art und Größe seiner Kanzlei zu stehen hat.
Risikofaktoren, die sich bezogen auf seine Kunden, auf bestimmte
Länder und geografische Gebiete oder auf bestimmte Produkte,
Dienstleistungen, Transaktionen oder Vertriebskanäle ergeben, sind
dabei besonders zu berücksichtigen. Diese Risikobewertungen sind
vom Rechtsanwalt aufzuzeichnen, auf aktuellem Stand zu halten und
auf Anforderung der Rechtsanwaltskammer zur Verfügung zu stellen.
Tatsachen, die der Rechtsanwalt unter den in § 8c Abs 1
zweiter Satz genannten Voraussetzungen erfahren hat, müssen nicht
in die schriftlichen Risikobewertungen aufgenommen
werden</w:t>
      </w:r>
      <w:r>
        <w:rPr>
          <w:rFonts w:ascii="Arial" w:hAnsi="Arial" w:eastAsia="Arial" w:cs="Arial"/>
          <w:color w:val="000000"/>
          <w:sz w:val="20"/>
          <w:szCs w:val="20"/>
        </w:rPr>
        <w:t xml:space="preserv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Ausgangslage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7215"/>
        <w:gridCol w:w="1965"/>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Nationale Risikoanalyse Österreich:</w:t>
            </w:r>
          </w:p>
          <w:p>
            <w:pPr>
              <w:widowControl w:val="on"/>
              <w:pBdr/>
              <w:shd w:val="clear" w:color="auto" w:fill="FFFFFF"/>
              <w:spacing w:before="0" w:after="0" w:line="288" w:lineRule="auto"/>
              <w:ind w:left="0" w:right="0"/>
              <w:jc w:val="both"/>
              <w:textAlignment w:val="top"/>
            </w:pPr>
            <w:r>
              <w:rPr>
                <w:rFonts w:ascii="Arial" w:hAnsi="Arial" w:eastAsia="Arial" w:cs="Arial"/>
                <w:color w:val="000000"/>
                <w:position w:val="0"/>
                <w:sz w:val="20"/>
                <w:szCs w:val="20"/>
                <w:shd w:val="clear" w:color="auto" w:fill="FFFFFF"/>
              </w:rPr>
              <w:t xml:space="preserve">Ausgangspunkt der Risikoanalyse sind
die Ergebnisse, die in der „Nationalen Risikoanalyse
</w:t>
            </w:r>
            <w:r>
              <w:rPr>
                <w:rFonts w:ascii="Arial" w:hAnsi="Arial" w:eastAsia="Arial" w:cs="Arial"/>
                <w:color w:val="000000"/>
                <w:position w:val="0"/>
                <w:sz w:val="20"/>
                <w:szCs w:val="20"/>
                <w:shd w:val="clear" w:color="auto" w:fill="FFFFFF"/>
              </w:rPr>
              <w:t xml:space="preserve">Österreich“</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Abrufbar unter
https://www.bmf.gv.at/finanzmarkt/geldwaesche-terrorismusfinanzierung/Nationale_Risikoanalyse_Oesterreich_PUBLIC.pdf.</w:t>
            </w:r>
            <w:r>
              <w:rPr>
                <w:rFonts w:ascii="Arial" w:hAnsi="Arial" w:eastAsia="Arial" w:cs="Arial"/>
                <w:color w:val="777777"/>
                <w:position w:val="0"/>
                <w:sz w:val="18"/>
                <w:szCs w:val="18"/>
                <w:shd w:val="clear" w:color="auto" w:fill="FFFFFF"/>
              </w:rPr>
              <w:t xml:space="preserve">) </w:t>
            </w:r>
            <w:r>
              <w:rPr>
                <w:rFonts w:ascii="Arial" w:hAnsi="Arial" w:eastAsia="Arial" w:cs="Arial"/>
                <w:color w:val="000000"/>
                <w:position w:val="0"/>
                <w:sz w:val="20"/>
                <w:szCs w:val="20"/>
                <w:shd w:val="clear" w:color="auto" w:fill="FFFFFF"/>
              </w:rPr>
              <w:t xml:space="preserve">
insbesondere für den Bereich „Legal“, also für die rechtsberatenden
Berufe, enthalten </w:t>
            </w:r>
            <w:r>
              <w:rPr>
                <w:rFonts w:ascii="Arial" w:hAnsi="Arial" w:eastAsia="Arial" w:cs="Arial"/>
                <w:color w:val="000000"/>
                <w:position w:val="0"/>
                <w:sz w:val="20"/>
                <w:szCs w:val="20"/>
                <w:shd w:val="clear" w:color="auto" w:fill="FFFFFF"/>
              </w:rPr>
              <w:t xml:space="preserve">sind.</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Insbesondere Punkt 66 (S 61), 77 (S 64 f), 91 (S 79 ff), 96
(S 88 f), 101 (S 108 ff) 106 (S 113 ff), 115 (126 ff), 131 (S 162
f), 134 (S 166 f), 136 (S 171 ff), 172 (S 220 ff), 173 (S 223
ff).</w:t>
            </w:r>
            <w:r>
              <w:rPr>
                <w:rFonts w:ascii="Arial" w:hAnsi="Arial" w:eastAsia="Arial" w:cs="Arial"/>
                <w:color w:val="777777"/>
                <w:position w:val="0"/>
                <w:sz w:val="18"/>
                <w:szCs w:val="18"/>
                <w:shd w:val="clear" w:color="auto" w:fill="FFFFFF"/>
              </w:rPr>
              <w:t xml:space="preserve">) </w:t>
            </w:r>
          </w:p>
          <w:p>
            <w:pPr>
              <w:widowControl w:val="on"/>
              <w:pBdr/>
              <w:shd w:val="clear" w:color="auto" w:fill="FFFFFF"/>
              <w:spacing w:before="0" w:after="0" w:line="288" w:lineRule="auto"/>
              <w:ind w:left="0" w:right="0"/>
              <w:jc w:val="both"/>
              <w:textAlignment w:val="top"/>
            </w:pPr>
            <w:r>
              <w:rPr>
                <w:rFonts w:ascii="Arial" w:hAnsi="Arial" w:eastAsia="Arial" w:cs="Arial"/>
                <w:color w:val="000000"/>
                <w:position w:val="0"/>
                <w:sz w:val="20"/>
                <w:szCs w:val="20"/>
                <w:shd w:val="clear" w:color="auto" w:fill="FFFFFF"/>
              </w:rPr>
              <w:t xml:space="preserve">Hierzu wurde unter
anderem ausgeführt, dass sich „</w:t>
            </w:r>
            <w:r>
              <w:rPr>
                <w:rFonts w:ascii="Arial" w:hAnsi="Arial" w:eastAsia="Arial" w:cs="Arial"/>
                <w:i/>
                <w:iCs/>
                <w:color w:val="000000"/>
                <w:position w:val="0"/>
                <w:sz w:val="20"/>
                <w:szCs w:val="20"/>
                <w:shd w:val="clear" w:color="auto" w:fill="FFFFFF"/>
              </w:rPr>
              <w:t xml:space="preserve">Rechtsanwaltschaft und Notariat
bewusst (sind), dass potenzielle Täter stetig danach trachten, Wege
zu finden, um die bestehenden Schutzmechanismen zur Verhinderung
von GW/TF zu umgehen. Insofern bedarf es daher auch in der Zukunft
einer laufenden Evaluierung sowohl der eigenen Tätigkeit als auch
der generellen „Trends“ des Wirtschaftslebens, um potenzielle
Gefahrenfelder möglichst frühzeitig zu identifizieren und möglichst
rasch Gegenmaßnahmen setzen zu können.</w:t>
            </w:r>
            <w:r>
              <w:rPr>
                <w:rFonts w:ascii="Arial" w:hAnsi="Arial" w:eastAsia="Arial" w:cs="Arial"/>
                <w:color w:val="000000"/>
                <w:position w:val="0"/>
                <w:sz w:val="20"/>
                <w:szCs w:val="20"/>
                <w:shd w:val="clear" w:color="auto" w:fill="FFFFFF"/>
              </w:rPr>
              <w:t xml:space="preserve">“ Rechtsanwälten und
Notaren in Österreich wurden in der Nationalen Risikoanalyse in
nachstehenden Bereichen folgende Risikofaktoren zugeordnet:</w:t>
            </w:r>
          </w:p>
          <w:tbl>
            <w:tblPr>
              <w:tblStyle w:val="NormalTablePHPDOCX"/>
              <w:tblW w:w="5000" w:type="pct"/>
              <w:tblInd w:w="0" w:type="auto"/>
              <w:tblBorders>
                <w:top w:val="single" w:color="000000" w:sz="2"/>
                <w:left w:val="single" w:color="000000" w:sz="2"/>
                <w:bottom w:val="single" w:color="000000" w:sz="2"/>
                <w:right w:val="single" w:color="000000" w:sz="2"/>
              </w:tblBorders>
              <w:shd w:val="clear" w:color="auto" w:fill="FFFFFF"/>
            </w:tblPr>
            <w:tblGrid>
              <w:gridCol w:w="7215"/>
              <w:gridCol w:w="1965"/>
            </w:tblGrid>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Risikobereich</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Risikofaktor</w:t>
                  </w:r>
                </w:p>
              </w:tc>
            </w:tr>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Anforderungen des GW/TF-Regimes werden nicht
umgesetzt</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Mittel</w:t>
                  </w:r>
                </w:p>
              </w:tc>
            </w:tr>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Risiko, dass anwaltliche Tätigkeiten für Zwecke
der GW/TF missbraucht werden</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Gering</w:t>
                  </w:r>
                </w:p>
              </w:tc>
            </w:tr>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Effektivität bei der Umsetzung der
GW/TF-Verpflichtungen und der Kontrollmaßnahmen</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Gering bis Mittel</w:t>
                  </w:r>
                </w:p>
              </w:tc>
            </w:tr>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Durchsetzbarkeit von Regeln oder Leitlinien</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Mittel</w:t>
                  </w:r>
                </w:p>
              </w:tc>
            </w:tr>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Feststellung des wirtschaftlich Berechtigten</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Hoch</w:t>
                  </w:r>
                </w:p>
              </w:tc>
            </w:tr>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Widerwille, das GW/TF-Risiko zu erkennen</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Mittel</w:t>
                  </w:r>
                </w:p>
              </w:tc>
            </w:tr>
            <w:tr>
              <w:trPr>
                <w:trHeight w:val="0" w:hRule="atLeast"/>
              </w:trPr>
              <w:tc>
                <w:tcPr>
                  <w:tcW w:w="721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Anwendung der Sorgfalts- und
Meldeverpflichtungen</w:t>
                  </w:r>
                </w:p>
              </w:tc>
              <w:tc>
                <w:tcPr>
                  <w:tcW w:w="196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Mittel</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FATF-Bericht Österreich 2016</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FATF-Bericht über die Evaluierung Österreich im Jahre
</w:t>
            </w:r>
            <w:r>
              <w:rPr>
                <w:rFonts w:ascii="Arial" w:hAnsi="Arial" w:eastAsia="Arial" w:cs="Arial"/>
                <w:color w:val="000000"/>
                <w:position w:val="0"/>
                <w:sz w:val="20"/>
                <w:szCs w:val="20"/>
                <w:shd w:val="clear" w:color="auto" w:fill="FFFFFF"/>
              </w:rPr>
              <w:t xml:space="preserve">2016</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http://www.fatf-gafi.org/media/fatf/documents/reports/mer4/MER-Austria-2016-Executive-Summary.pdf
(Executive Summary) und vollständiger Bericht:
http://www.fatf-gafi.org/media/fatf/documents/reports/mer4/MER-Austria-2016.pdf. </w:t>
            </w:r>
            <w:r>
              <w:rPr>
                <w:rFonts w:ascii="Arial" w:hAnsi="Arial" w:eastAsia="Arial" w:cs="Arial"/>
                <w:color w:val="777777"/>
                <w:position w:val="0"/>
                <w:sz w:val="18"/>
                <w:szCs w:val="18"/>
                <w:shd w:val="clear" w:color="auto" w:fill="FFFFFF"/>
              </w:rPr>
              <w:t xml:space="preserve">) </w:t>
            </w:r>
            <w:r>
              <w:rPr>
                <w:rFonts w:ascii="Arial" w:hAnsi="Arial" w:eastAsia="Arial" w:cs="Arial"/>
                <w:color w:val="000000"/>
                <w:position w:val="0"/>
                <w:sz w:val="20"/>
                <w:szCs w:val="20"/>
                <w:shd w:val="clear" w:color="auto" w:fill="FFFFFF"/>
              </w:rPr>
              <w:t xml:space="preserve">
wird betreffend Rechtsanwälte und Notare festgehalten</w:t>
            </w:r>
          </w:p>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„Notaries, lawyers, and accountants play a key role within
the economic system as they are often involved in high risk
business like company formations and real estate transfers. There
are concerns whether they fulfil their gatekeeper role
effectively.“</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und daran die Empfehlung geknüpft, dass Österreich
sicherzustellen hat, dass (ua) auch Rechtsanwälte ausreichend der
GW/TF-Risiken sich bewusst sind und die diesbezüglichen
Sorgfaltspflichten einhalten.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3. Ziel und Zweck der Risikoanalyse</w:t>
      </w:r>
    </w:p>
    <w:p>
      <w:pPr>
        <w:widowControl w:val="on"/>
        <w:pBdr/>
        <w:spacing w:before="140" w:after="240" w:line="288" w:lineRule="auto"/>
        <w:ind w:left="0" w:right="0"/>
        <w:jc w:val="left"/>
      </w:pPr>
      <w:r>
        <w:rPr>
          <w:rFonts w:ascii="Arial" w:hAnsi="Arial" w:eastAsia="Arial" w:cs="Arial"/>
          <w:color w:val="000000"/>
          <w:sz w:val="20"/>
          <w:szCs w:val="20"/>
        </w:rPr>
        <w:t xml:space="preserve">Die Kanzlei … [Name] („Kanzlei“) bekennt sich zur umfassenden
Geldwäsche-Compliance und zur Einhaltung sämtlicher nationaler und
internationaler berufsrechtlichen Vorgaben. Die beabsichtigte oder
unbeabsichtigte Teilnahme an rechtswidrigen Aktivitäten unserer
Klienten kann uns und der Gesellschaft nachhaltigen Schaden
zufügen. Wir sind daher bestrebt, derartige Risiken soweit wie
möglich durch vorbeugende Maßnahmen zu minimieren.</w:t>
      </w:r>
    </w:p>
    <w:p>
      <w:pPr>
        <w:widowControl w:val="on"/>
        <w:pBdr/>
        <w:spacing w:before="140" w:after="240" w:line="288" w:lineRule="auto"/>
        <w:ind w:left="0" w:right="0"/>
        <w:jc w:val="left"/>
      </w:pPr>
      <w:r>
        <w:rPr>
          <w:rFonts w:ascii="Arial" w:hAnsi="Arial" w:eastAsia="Arial" w:cs="Arial"/>
          <w:color w:val="000000"/>
          <w:sz w:val="20"/>
          <w:szCs w:val="20"/>
        </w:rPr>
        <w:t xml:space="preserve">Zweck der vorliegenden Risikoanalyse ist unter Berücksichtigung
der individuelle Situation in der Kanzlei die Erhebung der Risiken
und Gefahren im Hinblick auf die – auch unwissentliche –
Einbeziehung unserer Kanzlei und ihrer Mitarbeiter in Aktivitäten
im Zusammenhang mit Geldwäsche oder Terrorismusfinanzierung: diese
Risikoanalyse dient dann als Grundlage für die Festlegung von
Strategien und Verfahren zur Erfüllung der Rechtsanwälten im Rahmen
der Bekämpfung von Geldwäscherei (§ 165 StGB) oder
Terrorismusfinanzierung (§ 278d StGB) auferlegten
Sorgfaltspflichten für unsere Kanzlei.</w:t>
      </w:r>
    </w:p>
    <w:p>
      <w:pPr>
        <w:widowControl w:val="on"/>
        <w:pBdr/>
        <w:spacing w:before="140" w:after="240" w:line="288" w:lineRule="auto"/>
        <w:ind w:left="0" w:right="0"/>
        <w:jc w:val="both"/>
      </w:pPr>
      <w:r>
        <w:rPr>
          <w:rFonts w:ascii="Arial" w:hAnsi="Arial" w:eastAsia="Arial" w:cs="Arial"/>
          <w:color w:val="000000"/>
          <w:sz w:val="20"/>
          <w:szCs w:val="20"/>
        </w:rPr>
        <w:t xml:space="preserve">Diese Risikoanalyse wird regelmäßig
überprüft und gegebenenfalls aktualisiert.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 Aufbau Inhalt einer Risikoanalyse
(Anleitung)</w:t>
      </w:r>
    </w:p>
    <w:p>
      <w:pPr>
        <w:widowControl w:val="on"/>
        <w:pBdr/>
        <w:spacing w:before="140" w:after="240" w:line="288" w:lineRule="auto"/>
        <w:ind w:left="0" w:right="0"/>
        <w:jc w:val="left"/>
      </w:pPr>
      <w:r>
        <w:rPr>
          <w:rFonts w:ascii="Arial" w:hAnsi="Arial" w:eastAsia="Arial" w:cs="Arial"/>
          <w:color w:val="000000"/>
          <w:sz w:val="20"/>
          <w:szCs w:val="20"/>
        </w:rPr>
        <w:t xml:space="preserve">Dieser Abschnitt ist als Anleitung konzipiert, der
Rechtsanwälten </w:t>
      </w:r>
      <w:r>
        <w:rPr>
          <w:rFonts w:ascii="Arial" w:hAnsi="Arial" w:eastAsia="Arial" w:cs="Arial"/>
          <w:b/>
          <w:bCs/>
          <w:color w:val="000000"/>
          <w:sz w:val="20"/>
          <w:szCs w:val="20"/>
        </w:rPr>
        <w:t xml:space="preserve">Anregungen</w:t>
      </w:r>
      <w:r>
        <w:rPr>
          <w:rFonts w:ascii="Arial" w:hAnsi="Arial" w:eastAsia="Arial" w:cs="Arial"/>
          <w:color w:val="000000"/>
          <w:sz w:val="20"/>
          <w:szCs w:val="20"/>
        </w:rPr>
        <w:t xml:space="preserve"> geben
soll, </w:t>
      </w:r>
      <w:r>
        <w:rPr>
          <w:rFonts w:ascii="Arial" w:hAnsi="Arial" w:eastAsia="Arial" w:cs="Arial"/>
          <w:b/>
          <w:bCs/>
          <w:color w:val="000000"/>
          <w:sz w:val="20"/>
          <w:szCs w:val="20"/>
        </w:rPr>
        <w:t xml:space="preserve">welche Gesichtspunkte in einer Risikoanalyse zu
beachten und zu behandeln</w:t>
      </w:r>
      <w:r>
        <w:rPr>
          <w:rFonts w:ascii="Arial" w:hAnsi="Arial" w:eastAsia="Arial" w:cs="Arial"/>
          <w:color w:val="000000"/>
          <w:sz w:val="20"/>
          <w:szCs w:val="20"/>
        </w:rPr>
        <w:t xml:space="preserve"> sind. Diese Anleitung verfolgt
dabei den Ansatz, potenzielle Gefahrenbereiche primär nach
sachlichen Gesichtspunkten zu gliedern. Die nachfolgende formale
Unterteilung versteht sich als Anhaltspunkt, ist jedoch – ohne
strenge, geschweige denn zwingende oder abschließende
Zuordnung − inhaltlich als übergreifend aufzufassen; abhängig
von der konkreten Kanzleistruktur können auch weitere
Gesichtspunkte relevant sein: diese Anleitung ist daher auch nicht
als abschließend zu betrachten.</w:t>
      </w:r>
    </w:p>
    <w:p>
      <w:pPr>
        <w:widowControl w:val="on"/>
        <w:pBdr/>
        <w:spacing w:before="140" w:after="240" w:line="288" w:lineRule="auto"/>
        <w:ind w:left="0" w:right="0"/>
        <w:jc w:val="left"/>
      </w:pPr>
      <w:r>
        <w:rPr>
          <w:rFonts w:ascii="Arial" w:hAnsi="Arial" w:eastAsia="Arial" w:cs="Arial"/>
          <w:color w:val="000000"/>
          <w:sz w:val="20"/>
          <w:szCs w:val="20"/>
        </w:rPr>
        <w:t xml:space="preserve">Die nachfolgenden Analysebereiche konzentrieren sich vor allem,
aber nicht ausschließlich, auf geldwäschegeneigte Geschäfte, sohin
solche Geschäfte, die betreffen (§ 8a RAO):</w:t>
      </w:r>
    </w:p>
    <w:p>
      <w:pPr>
        <w:numPr>
          <w:ilvl w:val="0"/>
          <w:numId w:val="2418092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Durchführung von Finanz- oder Immobilientransaktionen im
Namen und auf Rechnung seiner Partei oder</w:t>
      </w:r>
    </w:p>
    <w:p>
      <w:pPr>
        <w:numPr>
          <w:ilvl w:val="0"/>
          <w:numId w:val="2418092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Mitwirkung an der Planung und Durchführung von Finanz- und
Immobilientransaktionen für seine Partei, sofern diese betreffen:
</w:t>
      </w:r>
    </w:p>
    <w:p>
      <w:pPr>
        <w:numPr>
          <w:ilvl w:val="1"/>
          <w:numId w:val="2418092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Kauf oder Verkauf von Immobilien oder Unternehmen</w:t>
      </w:r>
    </w:p>
    <w:p>
      <w:pPr>
        <w:numPr>
          <w:ilvl w:val="1"/>
          <w:numId w:val="2418092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Verwaltung von Geld, Wertpapieren oder sonstigen
Vermögenswerten</w:t>
      </w:r>
    </w:p>
    <w:p>
      <w:pPr>
        <w:numPr>
          <w:ilvl w:val="1"/>
          <w:numId w:val="2418092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Eröffnung oder Verwaltung von Bank-, Spar- oder
Wertpapierkonten oder</w:t>
      </w:r>
    </w:p>
    <w:p>
      <w:pPr>
        <w:numPr>
          <w:ilvl w:val="1"/>
          <w:numId w:val="2418092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Gründung, den Betrieb oder die Verwaltung von Trusts,
Gesellschaften, Stiftungen oder ähnlichen Strukturen,
einschließlich der Beschaffung der zur Gründung, zum Betrieb oder
zur Verwaltung von Gesellschaften erforderlichen Mittel</w:t>
      </w:r>
    </w:p>
    <w:p>
      <w:pPr>
        <w:widowControl w:val="on"/>
        <w:pBdr/>
        <w:spacing w:before="140" w:after="240" w:line="288" w:lineRule="auto"/>
        <w:ind w:left="0" w:right="0"/>
        <w:jc w:val="left"/>
      </w:pPr>
      <w:r>
        <w:rPr>
          <w:rFonts w:ascii="Arial" w:hAnsi="Arial" w:eastAsia="Arial" w:cs="Arial"/>
          <w:color w:val="000000"/>
          <w:sz w:val="20"/>
          <w:szCs w:val="20"/>
        </w:rPr>
        <w:t xml:space="preserve">Ausgehend von den Ergebnissen der Analyse und dem dabei jeweils
festgestellten Risiko sind dann für die Kanzlei entsprechende
angemessene und geeignete Strategien und Verfahren vorzusehen. Die
hierzu in der Folge angeführten Möglichkeiten sind weder
abschließend noch verbindlich, sondern sollen ebenfalls nur als
Anregung dienen.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Analysethema 1: Kanzlei- und
Mitarbeiterstruktur</w:t>
      </w:r>
    </w:p>
    <w:p>
      <w:pPr>
        <w:widowControl w:val="on"/>
        <w:pBdr/>
        <w:spacing w:before="140" w:after="240" w:line="288" w:lineRule="auto"/>
        <w:ind w:left="0" w:right="0"/>
        <w:jc w:val="left"/>
      </w:pPr>
      <w:r>
        <w:rPr>
          <w:rFonts w:ascii="Arial" w:hAnsi="Arial" w:eastAsia="Arial" w:cs="Arial"/>
          <w:color w:val="000000"/>
          <w:sz w:val="20"/>
          <w:szCs w:val="20"/>
        </w:rPr>
        <w:t xml:space="preserve">Eine Rechtsanwaltskanzlei erfordert mittlerweile eine moderne
funktionierende unternehmerische Organisation; diese ist abhängig
von der Größe und Struktur einer Kanzlei.</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1 – Kanzleistruktur</w:t>
      </w:r>
    </w:p>
    <w:p>
      <w:pPr>
        <w:widowControl w:val="on"/>
        <w:pBdr/>
        <w:spacing w:before="140" w:after="240" w:line="288" w:lineRule="auto"/>
        <w:ind w:left="0" w:right="0"/>
        <w:jc w:val="left"/>
      </w:pPr>
      <w:r>
        <w:rPr>
          <w:rFonts w:ascii="Arial" w:hAnsi="Arial" w:eastAsia="Arial" w:cs="Arial"/>
          <w:color w:val="000000"/>
          <w:sz w:val="20"/>
          <w:szCs w:val="20"/>
        </w:rPr>
        <w:t xml:space="preserve">Hier wäre die Kanzlei im Hinblick auf die Rechtsform und Größe
sowie Anzahl der Rechtsanwälte, Rechtsanwaltsanwärter und sonstigen
Mitarbeiter (einschließlich deren Ausbildungsstandard) zu
untersuchen. Risikoerhöhend könnten beispielsweise eine höhere
Anzahl nicht-juristisch ausgebildeter Mitarbeiter (zumindest ohne
BU-Kurs), eine starke Fluktuation etc wirken.</w:t>
      </w:r>
    </w:p>
    <w:p>
      <w:pPr>
        <w:widowControl w:val="on"/>
        <w:pBdr/>
        <w:spacing w:before="140" w:after="240" w:line="288" w:lineRule="auto"/>
        <w:ind w:left="0" w:right="0"/>
        <w:jc w:val="both"/>
      </w:pPr>
      <w:r>
        <w:rPr>
          <w:rFonts w:ascii="Arial" w:hAnsi="Arial" w:eastAsia="Arial" w:cs="Arial"/>
          <w:color w:val="000000"/>
          <w:sz w:val="20"/>
          <w:szCs w:val="20"/>
        </w:rPr>
        <w:t xml:space="preserve">Risikokalkül: …
[Niedrig/Mittel/Hoch]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2 – Organisationsstruktur</w:t>
      </w:r>
    </w:p>
    <w:p>
      <w:pPr>
        <w:widowControl w:val="on"/>
        <w:pBdr/>
        <w:spacing w:before="140" w:after="240" w:line="288" w:lineRule="auto"/>
        <w:ind w:left="0" w:right="0"/>
        <w:jc w:val="left"/>
      </w:pPr>
      <w:r>
        <w:rPr>
          <w:rFonts w:ascii="Arial" w:hAnsi="Arial" w:eastAsia="Arial" w:cs="Arial"/>
          <w:color w:val="000000"/>
          <w:sz w:val="20"/>
          <w:szCs w:val="20"/>
        </w:rPr>
        <w:t xml:space="preserve">Analyse der internen Kompetenzzuteilungen (zB Organisation,
Rechnungswesen, HR, Marketing etc) und Analyse der Beschäftigung
der nicht-juristischen Mitarbeiter, die sich zur Unterstützung der
verantwortlichen Juristen vorwiegend um betriebswirtschaftliche
Agenden kümmern.</w:t>
      </w:r>
    </w:p>
    <w:p>
      <w:pPr>
        <w:widowControl w:val="on"/>
        <w:pBdr/>
        <w:spacing w:before="140" w:after="240" w:line="288" w:lineRule="auto"/>
        <w:ind w:left="0" w:right="0"/>
        <w:jc w:val="left"/>
      </w:pPr>
      <w:r>
        <w:rPr>
          <w:rFonts w:ascii="Arial" w:hAnsi="Arial" w:eastAsia="Arial" w:cs="Arial"/>
          <w:color w:val="000000"/>
          <w:sz w:val="20"/>
          <w:szCs w:val="20"/>
        </w:rPr>
        <w:t xml:space="preserve">Prüfung, ob kanzleiinterne Informations- und
Schulungsmaterialen, Arbeitshandbücher, die nationale
Risikoanalyse, etc aufliegen. Werden Checklisten und Formblätter
(für Neuaufnahme von Klienten, Geldwäscheformulare; vgl etwa
Anlagen ./2 und ./3) verwendet? Wie wird sichergestellt, dass alle
geldwäschegeneigten Geschäfte geprüft werden? Wie wird
sichergestellt, dass die Prüfung regelmäßig wiederholt wird? Hat
die Kanzlei Zugang zu Compliance-Datenbanken?</w:t>
      </w:r>
    </w:p>
    <w:p>
      <w:pPr>
        <w:widowControl w:val="on"/>
        <w:pBdr/>
        <w:spacing w:before="140" w:after="240" w:line="288" w:lineRule="auto"/>
        <w:ind w:left="0" w:right="0"/>
        <w:jc w:val="both"/>
      </w:pPr>
      <w:r>
        <w:rPr>
          <w:rFonts w:ascii="Arial" w:hAnsi="Arial" w:eastAsia="Arial" w:cs="Arial"/>
          <w:color w:val="000000"/>
          <w:sz w:val="20"/>
          <w:szCs w:val="20"/>
        </w:rPr>
        <w:t xml:space="preserve">Risikokalkül: …
[Niedrig/Mittel/Hoch]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3 – Analyse der Schulungsmaßnahmen und
Erfahrungsaustausch</w:t>
      </w:r>
    </w:p>
    <w:p>
      <w:pPr>
        <w:widowControl w:val="on"/>
        <w:pBdr/>
        <w:spacing w:before="140" w:after="240" w:line="288" w:lineRule="auto"/>
        <w:ind w:left="0" w:right="0"/>
        <w:jc w:val="left"/>
      </w:pPr>
      <w:r>
        <w:rPr>
          <w:rFonts w:ascii="Arial" w:hAnsi="Arial" w:eastAsia="Arial" w:cs="Arial"/>
          <w:color w:val="000000"/>
          <w:sz w:val="20"/>
          <w:szCs w:val="20"/>
        </w:rPr>
        <w:t xml:space="preserve">Durch Erfahrungsaustausch in geldwäschegeneigten
Geschäftsbereichen sollen alle Mitarbeiter jeweils auf den
aktuellen Stand der Entwicklungen in Bezug auf Anti-Geldwäscherei-
und − Terrorismusfinanzierungs-Compliance gebracht werden.</w:t>
      </w:r>
    </w:p>
    <w:p>
      <w:pPr>
        <w:widowControl w:val="on"/>
        <w:pBdr/>
        <w:spacing w:before="140" w:after="240" w:line="288" w:lineRule="auto"/>
        <w:ind w:left="0" w:right="0"/>
        <w:jc w:val="left"/>
      </w:pPr>
      <w:r>
        <w:rPr>
          <w:rFonts w:ascii="Arial" w:hAnsi="Arial" w:eastAsia="Arial" w:cs="Arial"/>
          <w:color w:val="000000"/>
          <w:sz w:val="20"/>
          <w:szCs w:val="20"/>
        </w:rPr>
        <w:t xml:space="preserve">Aus der Analyse abzuleitende Strategien, Maßnahmen und
Verfahren:</w:t>
      </w:r>
    </w:p>
    <w:p>
      <w:pPr>
        <w:widowControl w:val="on"/>
        <w:pBdr/>
        <w:spacing w:before="140" w:after="240" w:line="288" w:lineRule="auto"/>
        <w:ind w:left="0" w:right="0"/>
        <w:jc w:val="left"/>
      </w:pPr>
      <w:r>
        <w:rPr>
          <w:rFonts w:ascii="Arial" w:hAnsi="Arial" w:eastAsia="Arial" w:cs="Arial"/>
          <w:color w:val="000000"/>
          <w:sz w:val="20"/>
          <w:szCs w:val="20"/>
        </w:rPr>
        <w:t xml:space="preserve">Ausgehend von den Ergebnissen der vorhergehenden Analyse und dem
festgestellten Risiko sind in der Kanzlei entsprechende angemessene
und geeignete Strategien und Verfahren hinsichtlich Organisation
der Kanzlei sowie Einstellung, Überwachung und Schulung der
Mitarbeiter vorzusehen, </w:t>
      </w:r>
      <w:r>
        <w:rPr>
          <w:rFonts w:ascii="Arial" w:hAnsi="Arial" w:eastAsia="Arial" w:cs="Arial"/>
          <w:b/>
          <w:bCs/>
          <w:color w:val="000000"/>
          <w:sz w:val="20"/>
          <w:szCs w:val="20"/>
        </w:rPr>
        <w:t xml:space="preserve">wie zB</w:t>
      </w:r>
      <w:r>
        <w:rPr>
          <w:rFonts w:ascii="Arial" w:hAnsi="Arial" w:eastAsia="Arial" w:cs="Arial"/>
          <w:color w:val="000000"/>
          <w:sz w:val="20"/>
          <w:szCs w:val="20"/>
        </w:rPr>
        <w:t xml:space="preserve"> Festlegung, wer für
die Prüfung geldwäschegeneigter Geschäfte zuständig ist; Anweisung,
wie bei der Aktenanlage vorzugehen ist (vgl hierzu etwa die
Formblätter in Anlagen … und …), um sicherzustellen, dass den
Sorgfaltspflichten, insbesondere bei geldwäschegeneigten Geschäften
und PEPs (vgl § 8f [3] RAO – Zustimmung des Rechtsanwalts/zur
Geschäftsführung befugten Rechtsanwalts bei Annahme eines Mandats
mit einem PEP, dessen Angehörigen oder diesem bekanntermaßen
nahestehenden Person) entsprochen wird; etwa regelmäßig
wechselseitige stichprobenartige Kontrollen von
Organisationsabläufen und Aktenführung; regelmäßige Schulung der
Mitarbeiter über die kanzleispezifischen Gegebenheiten in Bezug auf
die Erkennung von geldwäschegeneigten Vorgängen;
Erfahrungsaustausch in geldwäschegeneigten Geschäftsbereichen,
wodurch alle Mitarbeiter jeweils auf den aktuellen Stand der
Entwicklungen in Bezug auf Anti-Geldwäscherei- und
Terrorismusfinanzierungs-Compliance gebracht werden; Einrichtung
des Zugangs zu Compliance-Datenbanken; Anweisung, unter welchen
Voraussetzungen, diese zu benutzen sind. Zu überlegen ist auch
vorzusehen, wer für Geldwäschemeldungen zuständig ist.</w:t>
      </w:r>
    </w:p>
    <w:p>
      <w:pPr>
        <w:widowControl w:val="on"/>
        <w:pBdr/>
        <w:spacing w:before="140" w:after="240" w:line="288" w:lineRule="auto"/>
        <w:ind w:left="0" w:right="0"/>
        <w:jc w:val="left"/>
      </w:pPr>
      <w:r>
        <w:rPr>
          <w:rFonts w:ascii="Arial" w:hAnsi="Arial" w:eastAsia="Arial" w:cs="Arial"/>
          <w:color w:val="000000"/>
          <w:sz w:val="20"/>
          <w:szCs w:val="20"/>
        </w:rPr>
        <w:t xml:space="preserve">In dem Zusammenhang ist – (unter Berücksichtigung der Ergebnisse
der anderen Analysebereiche) – auch die Frage zu klären, ob
aufgrund der Größe der Kanzlei und des Ausmaßes der analysierten
Geldwäscherisiken allenfalls ein Compliance-Beauftragter für
Geldwäsche zu bestellen ist (vgl § 8a [2] RAO idF ab
26.6.2017).</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Analysethema 2:
Klientenstruktur</w:t>
      </w:r>
    </w:p>
    <w:p>
      <w:pPr>
        <w:widowControl w:val="on"/>
        <w:pBdr/>
        <w:spacing w:before="140" w:after="240" w:line="288" w:lineRule="auto"/>
        <w:ind w:left="0" w:right="0"/>
        <w:jc w:val="both"/>
      </w:pPr>
      <w:r>
        <w:rPr>
          <w:rFonts w:ascii="Arial" w:hAnsi="Arial" w:eastAsia="Arial" w:cs="Arial"/>
          <w:color w:val="000000"/>
          <w:sz w:val="20"/>
          <w:szCs w:val="20"/>
        </w:rPr>
        <w:t xml:space="preserve">Bitte beachten Sie, dass diese
Analyse auch für bestehende Klienten durchzuführen ist! (§ 8b
[6] idF ab 26.6.2017).</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1 – Untersuchung des Geschäftszwecks der Mandanten,
insbesondere, ob Mandanten in geldwäschegeneigten Branchen tätig
sind, oder die Häufigkeit von Bargeldtransaktionen</w:t>
      </w:r>
    </w:p>
    <w:p>
      <w:pPr>
        <w:widowControl w:val="on"/>
        <w:pBdr/>
        <w:spacing w:before="140" w:after="240" w:line="288" w:lineRule="auto"/>
        <w:ind w:left="0" w:right="0"/>
        <w:jc w:val="left"/>
      </w:pPr>
      <w:r>
        <w:rPr>
          <w:rFonts w:ascii="Arial" w:hAnsi="Arial" w:eastAsia="Arial" w:cs="Arial"/>
          <w:color w:val="000000"/>
          <w:sz w:val="20"/>
          <w:szCs w:val="20"/>
        </w:rPr>
        <w:t xml:space="preserve">Bestimmte Branchen (etwa Glücksspiel, Casino, Waffenhandel)
weisen typischerweise eine höhere Korruptionsanfälligkeit auf.
Ebenso weisen Bargeldtransaktionen oder Überweisungen über Konten
bei Banken, die nicht in EU- oder OECD-Ländern geführt werden,
typischerweise ein höheres Risiko auf.</w:t>
      </w:r>
    </w:p>
    <w:p>
      <w:pPr>
        <w:widowControl w:val="on"/>
        <w:pBdr/>
        <w:spacing w:before="140" w:after="240" w:line="288" w:lineRule="auto"/>
        <w:ind w:left="0" w:right="0"/>
        <w:jc w:val="left"/>
      </w:pPr>
      <w:r>
        <w:rPr>
          <w:rFonts w:ascii="Arial" w:hAnsi="Arial" w:eastAsia="Arial" w:cs="Arial"/>
          <w:color w:val="000000"/>
          <w:sz w:val="20"/>
          <w:szCs w:val="20"/>
        </w:rPr>
        <w:t xml:space="preserve">Dabei sind die in den Anlagen II und III zum FM-GwG dargelegten
Faktoren für ein potenziell erhöhtes oder ein geringeres Risiko zu
berücksichtigen.</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2 – Höhe der Transaktionen und der involvierten
Vermögenswerte</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3 – Eigentümerstruktur und Rechtsform der
Mandanten</w:t>
      </w:r>
    </w:p>
    <w:p>
      <w:pPr>
        <w:widowControl w:val="on"/>
        <w:pBdr/>
        <w:spacing w:before="140" w:after="240" w:line="288" w:lineRule="auto"/>
        <w:ind w:left="0" w:right="0"/>
        <w:jc w:val="left"/>
      </w:pPr>
      <w:r>
        <w:rPr>
          <w:rFonts w:ascii="Arial" w:hAnsi="Arial" w:eastAsia="Arial" w:cs="Arial"/>
          <w:color w:val="000000"/>
          <w:sz w:val="20"/>
          <w:szCs w:val="20"/>
        </w:rPr>
        <w:t xml:space="preserve">Übermäßig komplizierte Eigentümerstrukturen, Inhaberpapiere und
nominelle Anteilseigner können besondere Risiken in sich bergen. Es
ist für die Erhebung der wirtschaftlichen Eigentümer Sorge zu
tragen. Ebenfalls als riskant anzusehen sind juristische Personen
und Trusts oder trustähnliche Gestaltungen (einschließlich Fonds,
Stiftungen), die typischerweise als Instrumente für die private
Vermögensverwaltung dienen.</w:t>
      </w:r>
    </w:p>
    <w:p>
      <w:pPr>
        <w:widowControl w:val="on"/>
        <w:pBdr/>
        <w:spacing w:before="140" w:after="240" w:line="288" w:lineRule="auto"/>
        <w:ind w:left="0" w:right="0"/>
        <w:jc w:val="left"/>
      </w:pPr>
      <w:r>
        <w:rPr>
          <w:rFonts w:ascii="Arial" w:hAnsi="Arial" w:eastAsia="Arial" w:cs="Arial"/>
          <w:color w:val="000000"/>
          <w:sz w:val="20"/>
          <w:szCs w:val="20"/>
        </w:rPr>
        <w:t xml:space="preserve">Umgekehrt können bestimmte Behörden bzw Finanzinstitute (vgl
§ 8e RAO idF ab 26.6.2017) ein geringes Risiko darstellen.</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4 – Unterscheidung zwischen Einzelmandaten und
Dauermandaten</w:t>
      </w:r>
    </w:p>
    <w:p>
      <w:pPr>
        <w:widowControl w:val="on"/>
        <w:pBdr/>
        <w:spacing w:before="140" w:after="240" w:line="288" w:lineRule="auto"/>
        <w:ind w:left="0" w:right="0"/>
        <w:jc w:val="left"/>
      </w:pPr>
      <w:r>
        <w:rPr>
          <w:rFonts w:ascii="Arial" w:hAnsi="Arial" w:eastAsia="Arial" w:cs="Arial"/>
          <w:color w:val="000000"/>
          <w:sz w:val="20"/>
          <w:szCs w:val="20"/>
        </w:rPr>
        <w:t xml:space="preserve">Bei Einzelmandaten sind zwar die üblichen
Identifikationsmaßnahmen zu ergreifen und ist der Zweck der
Geschäftsbeziehung zu erheben, der persönliche Kontakt ist hingegen
oft weniger intensiv. Bei Dauermandaten ist die Geschäftsbeziehung
regelmäßig zu evaluieren; eine Gefahr besteht darin, dass aufgrund
des engeren persönlichen Kontakts Due-Diligence-Maßnahmen
hintangestellt werden und dass Risiken verdrängt werden.</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5 – Untersuchung der Mandanten auf den Status als PEP
einschließlich der Familienangehörigen</w:t>
      </w:r>
    </w:p>
    <w:p>
      <w:pPr>
        <w:widowControl w:val="on"/>
        <w:pBdr/>
        <w:spacing w:before="140" w:after="240" w:line="288" w:lineRule="auto"/>
        <w:ind w:left="0" w:right="0"/>
        <w:jc w:val="left"/>
      </w:pPr>
      <w:r>
        <w:rPr>
          <w:rFonts w:ascii="Arial" w:hAnsi="Arial" w:eastAsia="Arial" w:cs="Arial"/>
          <w:color w:val="000000"/>
          <w:sz w:val="20"/>
          <w:szCs w:val="20"/>
        </w:rPr>
        <w:t xml:space="preserve">Dabei sind nationale und internationale PEPs zu unterscheiden
(vgl § 8f [2] RAO idF ab 26.6.2017).</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140" w:after="240" w:line="288" w:lineRule="auto"/>
        <w:ind w:left="0" w:right="0"/>
        <w:jc w:val="left"/>
      </w:pPr>
      <w:r>
        <w:rPr>
          <w:rFonts w:ascii="Arial" w:hAnsi="Arial" w:eastAsia="Arial" w:cs="Arial"/>
          <w:color w:val="000000"/>
          <w:sz w:val="20"/>
          <w:szCs w:val="20"/>
        </w:rPr>
        <w:t xml:space="preserve">Aus der Analyse abzuleitende Strategien, Maßnahmen und
Verfahren:</w:t>
      </w:r>
    </w:p>
    <w:p>
      <w:pPr>
        <w:widowControl w:val="on"/>
        <w:pBdr/>
        <w:spacing w:before="140" w:after="240" w:line="288" w:lineRule="auto"/>
        <w:ind w:left="0" w:right="0"/>
        <w:jc w:val="left"/>
      </w:pPr>
      <w:r>
        <w:rPr>
          <w:rFonts w:ascii="Arial" w:hAnsi="Arial" w:eastAsia="Arial" w:cs="Arial"/>
          <w:color w:val="000000"/>
          <w:sz w:val="20"/>
          <w:szCs w:val="20"/>
        </w:rPr>
        <w:t xml:space="preserve">Ausgehend von den Ergebnissen der vorhergehenden Analyse und dem
festgestellten Risiko und unter Berücksichtigung der in den Anlagen
II und III zum FM-GwG dargelegten Faktoren für ein potenziell
erhöhtes oder ein geringeres Risiko betreffend Kunden, sind in der
Kanzlei entsprechende angemessene und geeignete Strategien und
Verfahren hinsichtlich der Überprüfung der Mandanten und der Art
der Geschäftsbeziehung vorzusehen, </w:t>
      </w:r>
      <w:r>
        <w:rPr>
          <w:rFonts w:ascii="Arial" w:hAnsi="Arial" w:eastAsia="Arial" w:cs="Arial"/>
          <w:b/>
          <w:bCs/>
          <w:color w:val="000000"/>
          <w:sz w:val="20"/>
          <w:szCs w:val="20"/>
        </w:rPr>
        <w:t xml:space="preserve">wie zB</w:t>
      </w:r>
      <w:r>
        <w:rPr>
          <w:rFonts w:ascii="Arial" w:hAnsi="Arial" w:eastAsia="Arial" w:cs="Arial"/>
          <w:color w:val="000000"/>
          <w:sz w:val="20"/>
          <w:szCs w:val="20"/>
        </w:rPr>
        <w:t xml:space="preserve"> bei
erstmaliger Kontaktaufnahme mit Mandanten bei geldwäschegeneigten
Geschäften Sicherstellung der Klientenprüfung (etwa anhand eines
KYVC-Fragebogens; </w:t>
      </w:r>
      <w:r>
        <w:rPr>
          <w:rFonts w:ascii="Arial" w:hAnsi="Arial" w:eastAsia="Arial" w:cs="Arial"/>
          <w:i/>
          <w:iCs/>
          <w:color w:val="000000"/>
          <w:sz w:val="20"/>
          <w:szCs w:val="20"/>
        </w:rPr>
        <w:t xml:space="preserve">s</w:t>
      </w:r>
      <w:r>
        <w:rPr>
          <w:rFonts w:ascii="Arial" w:hAnsi="Arial" w:eastAsia="Arial" w:cs="Arial"/>
          <w:color w:val="000000"/>
          <w:sz w:val="20"/>
          <w:szCs w:val="20"/>
        </w:rPr>
        <w:t xml:space="preserve">iehe dazu Anlage …), bei juristischen
Personen Überprüfung der wirtschaftlich Berechtigten; bei
fortdauernden Geschäftsbeziehungen Festlegung eines Zeitraumes (zB
1x/Jahr), binnen dessen überprüft wird, ob sich beim Klienten oder
seiner Geschäftsbeziehung relevante Änderungen ergeben haben.
Betreffend der PEP-Prüfung ist ein in einem angemessenen Verhältnis
zur konkreten Geschäftstätigkeit, Art und Größe der Kanzlei
stehendes, risikobasierte Verfahren einschließendes,
Risikomanagementsystem einzuführen und aufrecht zu erhalten
(§ 8a [4] RAO idF ab 26.6.2017), insbesondere die
Verpflichtung zur Prüfung der PEP-Eigenschaft (vgl § 8f RAO)
und die Verpflichtung bei PEPs, die Zustimmung eines zur
Geschäftsführung befugten Rechtsanwalts zur Mandatsübernahme
vorzusehen (vgl § 8f [3] RAO).</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Analysethema 3: Geografische
Faktoren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1 – Spezielle Untersuchung, welche Mandanten oder
Geschäftspartner von Mandanten aus Ländern stammen, bei denen die
Gefahr der Geldwäsche und der Terrorismusfinanzierung von den
Behörden als signifikant eingestuft wird</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2 – Untersuchung bei der Übernahme von neuen
internationalen Mandaten</w:t>
      </w:r>
    </w:p>
    <w:p>
      <w:pPr>
        <w:widowControl w:val="on"/>
        <w:pBdr/>
        <w:spacing w:before="140" w:after="240" w:line="288" w:lineRule="auto"/>
        <w:ind w:left="0" w:right="0"/>
        <w:jc w:val="left"/>
      </w:pPr>
      <w:r>
        <w:rPr>
          <w:rFonts w:ascii="Arial" w:hAnsi="Arial" w:eastAsia="Arial" w:cs="Arial"/>
          <w:color w:val="000000"/>
          <w:sz w:val="20"/>
          <w:szCs w:val="20"/>
        </w:rPr>
        <w:t xml:space="preserve">Internationale Mandate bedingen per se eine entsprechende
Aufmerksamkeit. Ein besonderes Risiko kann insbesondere in Bezug
auf Kontakte mit Mandanten oder deren Geschäftspartnern in
geldwäschereigefährdeten Drittländern bestehen. Kontakte zu
Offshore-Destinationen (</w:t>
      </w:r>
      <w:r>
        <w:rPr>
          <w:rFonts w:ascii="Arial" w:hAnsi="Arial" w:eastAsia="Arial" w:cs="Arial"/>
          <w:i/>
          <w:iCs/>
          <w:color w:val="000000"/>
          <w:sz w:val="20"/>
          <w:szCs w:val="20"/>
        </w:rPr>
        <w:t xml:space="preserve">v</w:t>
      </w:r>
      <w:r>
        <w:rPr>
          <w:rFonts w:ascii="Arial" w:hAnsi="Arial" w:eastAsia="Arial" w:cs="Arial"/>
          <w:color w:val="000000"/>
          <w:sz w:val="20"/>
          <w:szCs w:val="20"/>
        </w:rPr>
        <w:t xml:space="preserve">gl Nationale Risikoanalyse
Österreich, 10., hohes Risiko) werden besonders geprüft. Jedenfalls
ist in diesen vorgenannten Fällen erhöhte Sorgfalt zu wahren und
verpflichtend die Beratungstätigkeit sorgfältig zu
dokumentieren.</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140" w:after="240" w:line="288" w:lineRule="auto"/>
        <w:ind w:left="0" w:right="0"/>
        <w:jc w:val="both"/>
      </w:pPr>
      <w:r>
        <w:rPr>
          <w:rFonts w:ascii="Arial" w:hAnsi="Arial" w:eastAsia="Arial" w:cs="Arial"/>
          <w:color w:val="000000"/>
          <w:sz w:val="20"/>
          <w:szCs w:val="20"/>
        </w:rPr>
        <w:t xml:space="preserve">Aus der Analyse abzuleitende
Strategien, Maßnahmen und Verfahren:</w:t>
      </w:r>
    </w:p>
    <w:p>
      <w:pPr>
        <w:widowControl w:val="on"/>
        <w:pBdr/>
        <w:spacing w:before="140" w:after="240" w:line="288" w:lineRule="auto"/>
        <w:ind w:left="0" w:right="0"/>
        <w:jc w:val="left"/>
      </w:pPr>
      <w:r>
        <w:rPr>
          <w:rFonts w:ascii="Arial" w:hAnsi="Arial" w:eastAsia="Arial" w:cs="Arial"/>
          <w:color w:val="000000"/>
          <w:sz w:val="20"/>
          <w:szCs w:val="20"/>
        </w:rPr>
        <w:t xml:space="preserve">Ausgehend von den Ergebnissen der vorhergehenden Analyse und dem
festgestellten Risiko und unter Berücksichtigung der in den Anlagen
II und III zum FM-GwG dargelegten Faktoren für ein potenziell
erhöhtes oder ein geringeres Risiko in geografischer Hinsicht sind
in der Kanzlei entsprechende angemessene und geeignete Strategien
und Verfahren hinsichtlich der Überprüfung der Mandanten und der
Art der Geschäftsbeziehung vorzusehen; siehe dazu schon oben beim
Analysebereich 3). Zusätzlich könnte eventuell überlegt werden,
Risikomandanten gesondert zu erfassen und für diese Überprüfungen
auf Änderungen in kürzeren Intervallen vorzusehen.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Analysethema 4: Allgemeine Analyse
von Geschäftsbeziehungen und Transaktionen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1 – Untersuchung der Arten der von der Kanzlei
übernommenen Mandate</w:t>
      </w:r>
    </w:p>
    <w:p>
      <w:pPr>
        <w:widowControl w:val="on"/>
        <w:pBdr/>
        <w:spacing w:before="140" w:after="240" w:line="288" w:lineRule="auto"/>
        <w:ind w:left="0" w:right="0"/>
        <w:jc w:val="left"/>
      </w:pPr>
      <w:r>
        <w:rPr>
          <w:rFonts w:ascii="Arial" w:hAnsi="Arial" w:eastAsia="Arial" w:cs="Arial"/>
          <w:color w:val="000000"/>
          <w:sz w:val="20"/>
          <w:szCs w:val="20"/>
        </w:rPr>
        <w:t xml:space="preserve">Überprüfung, inwieweit die Kanzlei überhaupt geldwäschegeneigte
Geschäfte (siehe § 8a [1] RAO) durchführt; vor allem
forensische Tätigkeit bringt in der Regel eher geringe Risiken mit
sich.</w:t>
      </w:r>
    </w:p>
    <w:p>
      <w:pPr>
        <w:widowControl w:val="on"/>
        <w:pBdr/>
        <w:spacing w:before="140" w:after="240" w:line="288" w:lineRule="auto"/>
        <w:ind w:left="0" w:right="0"/>
        <w:jc w:val="left"/>
      </w:pPr>
      <w:r>
        <w:rPr>
          <w:rFonts w:ascii="Arial" w:hAnsi="Arial" w:eastAsia="Arial" w:cs="Arial"/>
          <w:color w:val="000000"/>
          <w:sz w:val="20"/>
          <w:szCs w:val="20"/>
        </w:rPr>
        <w:t xml:space="preserve">Analyse der bestehenden Geschäftsverbindungen, ob diese
geldwäschegeneigte Geschäfte betreffen oder ob in der Vergangenheit
oder bei laufenden Mandaten ungewöhnliche Verhaltensweisen und/oder
Transaktionsstrukturen aufgetreten sind.</w:t>
      </w:r>
    </w:p>
    <w:p>
      <w:pPr>
        <w:widowControl w:val="on"/>
        <w:pBdr/>
        <w:spacing w:before="140" w:after="240" w:line="288" w:lineRule="auto"/>
        <w:ind w:left="0" w:right="0"/>
        <w:jc w:val="left"/>
      </w:pPr>
      <w:r>
        <w:rPr>
          <w:rFonts w:ascii="Arial" w:hAnsi="Arial" w:eastAsia="Arial" w:cs="Arial"/>
          <w:color w:val="000000"/>
          <w:sz w:val="20"/>
          <w:szCs w:val="20"/>
        </w:rPr>
        <w:t xml:space="preserve">Allfälligen Auffälligkeiten (vgl „red-flags“</w:t>
      </w:r>
      <w:r>
        <w:rPr>
          <w:rFonts w:ascii="Arial" w:hAnsi="Arial" w:eastAsia="Arial" w:cs="Arial"/>
          <w:i/>
          <w:iCs/>
          <w:color w:val="000000"/>
          <w:sz w:val="20"/>
          <w:szCs w:val="20"/>
        </w:rPr>
        <w:t xml:space="preserve">,</w:t>
      </w:r>
      <w:r>
        <w:rPr>
          <w:rFonts w:ascii="Arial" w:hAnsi="Arial" w:eastAsia="Arial" w:cs="Arial"/>
          <w:color w:val="000000"/>
          <w:sz w:val="20"/>
          <w:szCs w:val="20"/>
        </w:rPr>
        <w:t xml:space="preserve"> wie zB,
wenn der Zweck des Geschäfts der Art nach außergewöhnlich ist
und/oder wirtschaftlich nicht leicht erkennbar; wirtschaftlich
nicht verständliche Änderung der ursprünglich geplanten
Transaktionsstruktur, außergewöhnlich hohes Transaktionsvolumen,
Ausübung unerklärlich großen Zeitdrucks, Verwendung von Geldmitteln
aus Offshore-Destinationen, etc) ist im Rahmen der grundlegenden
(allgemeinen) risikobasierten Anti-Geldwäscherei- und −
Terrorismusfinanzierungs-Compliance zu begegnen.</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2 – Gesellschaftsgründungen, M&amp;A und
Treuhandschaften</w:t>
      </w:r>
    </w:p>
    <w:p>
      <w:pPr>
        <w:widowControl w:val="on"/>
        <w:pBdr/>
        <w:spacing w:before="140" w:after="240" w:line="288" w:lineRule="auto"/>
        <w:ind w:left="0" w:right="0"/>
        <w:jc w:val="left"/>
      </w:pPr>
      <w:r>
        <w:rPr>
          <w:rFonts w:ascii="Arial" w:hAnsi="Arial" w:eastAsia="Arial" w:cs="Arial"/>
          <w:color w:val="000000"/>
          <w:sz w:val="20"/>
          <w:szCs w:val="20"/>
        </w:rPr>
        <w:t xml:space="preserve">Analyse, ob und bejahendenfalls bei welchen Klienten (siehe oben
Analysebereiche 2 und 3) mitgewirkt wird an Gesellschaftsgründungen
und Kauf/Verkauf von Unternehmen(sbeteiligungen), von
Finanzierungen sowie von Treuhandschaften bei solchen
Transaktionen.</w:t>
      </w:r>
    </w:p>
    <w:p>
      <w:pPr>
        <w:widowControl w:val="on"/>
        <w:pBdr/>
        <w:spacing w:before="140" w:after="240" w:line="288" w:lineRule="auto"/>
        <w:ind w:left="0" w:right="0"/>
        <w:jc w:val="both"/>
      </w:pPr>
      <w:r>
        <w:rPr>
          <w:rFonts w:ascii="Arial" w:hAnsi="Arial" w:eastAsia="Arial" w:cs="Arial"/>
          <w:color w:val="000000"/>
          <w:sz w:val="20"/>
          <w:szCs w:val="20"/>
        </w:rPr>
        <w:t xml:space="preserve">Gründung von Gesellschaften und die
Beteiligung an der Gründung erscheint per se problematisch, wenn
und soweit die Kanzlei in die Transaktion bzw Vertragserrichtung
nicht von vornherein eingebunden ist/war.</w:t>
      </w:r>
    </w:p>
    <w:p>
      <w:pPr>
        <w:widowControl w:val="on"/>
        <w:pBdr/>
        <w:spacing w:before="140" w:after="240" w:line="288" w:lineRule="auto"/>
        <w:ind w:left="0" w:right="0"/>
        <w:jc w:val="both"/>
      </w:pPr>
      <w:r>
        <w:rPr>
          <w:rFonts w:ascii="Arial" w:hAnsi="Arial" w:eastAsia="Arial" w:cs="Arial"/>
          <w:color w:val="000000"/>
          <w:sz w:val="20"/>
          <w:szCs w:val="20"/>
        </w:rPr>
        <w:t xml:space="preserve">Treuhandschaften in diesem
gesellschaftsrechtlichen Rahmen, insbesondere der Übernahme der
Treuhänderstellung für Gesellschafter, zeichnen sich vor allem
dadurch aus, dass die Kanzlei in Transaktionen eingebunden sein
kann, in denen der Gesellschaft keine oder nur eingeschränkte
(insbesondere gestalterische) Einflussmöglichkeiten zukommen; zudem
steht regelmäßig die Frage im Raum, aus welchen Gründen Geschäfte
treuhändig abgewickelt werden sollen/können/müssen.</w:t>
      </w:r>
    </w:p>
    <w:p>
      <w:pPr>
        <w:widowControl w:val="on"/>
        <w:pBdr/>
        <w:spacing w:before="140" w:after="240" w:line="288" w:lineRule="auto"/>
        <w:ind w:left="0" w:right="0"/>
        <w:jc w:val="both"/>
      </w:pPr>
      <w:r>
        <w:rPr>
          <w:rFonts w:ascii="Arial" w:hAnsi="Arial" w:eastAsia="Arial" w:cs="Arial"/>
          <w:color w:val="000000"/>
          <w:sz w:val="20"/>
          <w:szCs w:val="20"/>
        </w:rPr>
        <w:t xml:space="preserve">Vielfach liegt Treuhandschaften das
Element der Geheimhaltung inne, welches unter
Compliance-Gesichtspunkten jeweils gesondert zu hinterfragen
ist.</w:t>
      </w:r>
    </w:p>
    <w:p>
      <w:pPr>
        <w:widowControl w:val="on"/>
        <w:pBdr/>
        <w:spacing w:before="140" w:after="240" w:line="288" w:lineRule="auto"/>
        <w:ind w:left="0" w:right="0"/>
        <w:jc w:val="both"/>
      </w:pPr>
      <w:r>
        <w:rPr>
          <w:rFonts w:ascii="Arial" w:hAnsi="Arial" w:eastAsia="Arial" w:cs="Arial"/>
          <w:color w:val="000000"/>
          <w:sz w:val="20"/>
          <w:szCs w:val="20"/>
        </w:rPr>
        <w:t xml:space="preserve">Die Gefahr, unwissentlich für Zwecke
der Geldwäscherei oder der Terrorismusfinanzierung missbraucht zu
werden, erscheint bei „Fremd“-Treuhandschaften daher grundsätzlich
größer. Aus diesem Grund ist „Fremd“-Treuhandschaften mit äußerster
Vorsicht und Zurückhaltung zu begegnen.</w:t>
      </w:r>
    </w:p>
    <w:p>
      <w:pPr>
        <w:widowControl w:val="on"/>
        <w:pBdr/>
        <w:spacing w:before="140" w:after="240" w:line="288" w:lineRule="auto"/>
        <w:ind w:left="0" w:right="0"/>
        <w:jc w:val="both"/>
      </w:pPr>
      <w:r>
        <w:rPr>
          <w:rFonts w:ascii="Arial" w:hAnsi="Arial" w:eastAsia="Arial" w:cs="Arial"/>
          <w:color w:val="000000"/>
          <w:sz w:val="20"/>
          <w:szCs w:val="20"/>
        </w:rPr>
        <w:t xml:space="preserve">Angesichts dessen unterliegt die
Übernahme von Mandaten, die „Fremd“-Treuhandschaften zum Inhalt
haben, wohl einer besonderen Prüfpflicht.</w:t>
      </w:r>
    </w:p>
    <w:p>
      <w:pPr>
        <w:widowControl w:val="on"/>
        <w:pBdr/>
        <w:spacing w:before="140" w:after="240" w:line="288" w:lineRule="auto"/>
        <w:ind w:left="0" w:right="0"/>
        <w:jc w:val="left"/>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3 – Liegenschaftstransaktionen und treuhändige
Verwahrung und Verwaltung von Fremdgeldern durch die Kanzlei</w:t>
      </w:r>
    </w:p>
    <w:p>
      <w:pPr>
        <w:widowControl w:val="on"/>
        <w:pBdr/>
        <w:spacing w:before="140" w:after="240" w:line="288" w:lineRule="auto"/>
        <w:ind w:left="0" w:right="0"/>
        <w:jc w:val="left"/>
      </w:pPr>
      <w:r>
        <w:rPr>
          <w:rFonts w:ascii="Arial" w:hAnsi="Arial" w:eastAsia="Arial" w:cs="Arial"/>
          <w:color w:val="000000"/>
          <w:sz w:val="20"/>
          <w:szCs w:val="20"/>
        </w:rPr>
        <w:t xml:space="preserve">Mandate, die typischerweise in Zusammenhang mit der
Vertragserrichtung bei Immobilientransaktionen, bei denen Gelder
zur Absicherung von Käufer und Verkäufer auf von der Kanzlei
eröffneten Anderkonten erliegen, unterliegen von vornherein als
geldwäscheeigeneigte Transaktionen besonderer Sorgfalts- und
Identifikationspflicht (§§ 8a [1], 9a RAO).</w:t>
      </w:r>
    </w:p>
    <w:p>
      <w:pPr>
        <w:widowControl w:val="on"/>
        <w:pBdr/>
        <w:spacing w:before="140" w:after="240" w:line="288" w:lineRule="auto"/>
        <w:ind w:left="0" w:right="0"/>
        <w:jc w:val="left"/>
      </w:pPr>
      <w:r>
        <w:rPr>
          <w:rFonts w:ascii="Arial" w:hAnsi="Arial" w:eastAsia="Arial" w:cs="Arial"/>
          <w:color w:val="000000"/>
          <w:sz w:val="20"/>
          <w:szCs w:val="20"/>
        </w:rPr>
        <w:t xml:space="preserve">Risikofaktor: … [gering/mittel/hoch]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Bereich 4 – Geschäftsanbahnung, insbesondere Ferngeschäfte</w:t>
      </w:r>
    </w:p>
    <w:p>
      <w:pPr>
        <w:widowControl w:val="on"/>
        <w:pBdr/>
        <w:spacing w:before="140" w:after="240" w:line="288" w:lineRule="auto"/>
        <w:ind w:left="0" w:right="0"/>
        <w:jc w:val="left"/>
      </w:pPr>
      <w:r>
        <w:rPr>
          <w:rFonts w:ascii="Arial" w:hAnsi="Arial" w:eastAsia="Arial" w:cs="Arial"/>
          <w:color w:val="000000"/>
          <w:sz w:val="20"/>
          <w:szCs w:val="20"/>
        </w:rPr>
        <w:t xml:space="preserve">Evaluierung der Teilnahme der Kanzlei im Rahmen der Entwicklung
neuer innovativer rechtsanwaltlicher Dienstleistungen bzw
Produktangebote. Betätigung auf Internet-Marktplätzen oder
Entgegennahme virtueller Währungen.</w:t>
      </w:r>
    </w:p>
    <w:p>
      <w:pPr>
        <w:widowControl w:val="on"/>
        <w:pBdr/>
        <w:spacing w:before="140" w:after="240" w:line="288" w:lineRule="auto"/>
        <w:ind w:left="0" w:right="0"/>
        <w:jc w:val="left"/>
      </w:pPr>
      <w:r>
        <w:rPr>
          <w:rFonts w:ascii="Arial" w:hAnsi="Arial" w:eastAsia="Arial" w:cs="Arial"/>
          <w:color w:val="000000"/>
          <w:sz w:val="20"/>
          <w:szCs w:val="20"/>
        </w:rPr>
        <w:t xml:space="preserve">Im Einzelfall „gefährlich“: Mandate, die über ein
Online-Formular zustande kommen und bei denen unter Umständen ohne
direkten Kontakt mit dem Mandanten Beratungs- und
Umsetzungsleistungen erbracht werden. Bemerkenswert kann dabei
sein, dass das Mandat bereits mit dem Ausfüllen eines
Online-Formulars zustande gekommen ist, sofern das Online-Formular
als Offerte zum Mandatsabschluss und dessen Ausfüllen und Absenden
als Annahme desselben gewertet wird/werden muss.</w:t>
      </w:r>
    </w:p>
    <w:p>
      <w:pPr>
        <w:widowControl w:val="on"/>
        <w:pBdr/>
        <w:spacing w:before="140" w:after="240" w:line="288" w:lineRule="auto"/>
        <w:ind w:left="0" w:right="0"/>
        <w:jc w:val="left"/>
      </w:pPr>
      <w:r>
        <w:rPr>
          <w:rFonts w:ascii="Arial" w:hAnsi="Arial" w:eastAsia="Arial" w:cs="Arial"/>
          <w:color w:val="000000"/>
          <w:sz w:val="20"/>
          <w:szCs w:val="20"/>
        </w:rPr>
        <w:t xml:space="preserve">Beispielhaft angeführt sei dabei die Möglichkeit der raschen und
kostengünstigen Gründung einer GmbH im Rahmen des Projekts
„Gründerservice“.</w:t>
      </w:r>
    </w:p>
    <w:p>
      <w:pPr>
        <w:widowControl w:val="on"/>
        <w:pBdr/>
        <w:spacing w:before="140" w:after="240" w:line="288" w:lineRule="auto"/>
        <w:ind w:left="0" w:right="0"/>
        <w:jc w:val="both"/>
      </w:pPr>
      <w:r>
        <w:rPr>
          <w:rFonts w:ascii="Arial" w:hAnsi="Arial" w:eastAsia="Arial" w:cs="Arial"/>
          <w:color w:val="000000"/>
          <w:sz w:val="20"/>
          <w:szCs w:val="20"/>
        </w:rPr>
        <w:t xml:space="preserve">Risikofaktor: …
[gering/mittel/hoch]</w:t>
      </w:r>
    </w:p>
    <w:p>
      <w:pPr>
        <w:widowControl w:val="on"/>
        <w:pBdr/>
        <w:spacing w:before="140" w:after="240" w:line="288" w:lineRule="auto"/>
        <w:ind w:left="0" w:right="0"/>
        <w:jc w:val="both"/>
      </w:pPr>
      <w:r>
        <w:rPr>
          <w:rFonts w:ascii="Arial" w:hAnsi="Arial" w:eastAsia="Arial" w:cs="Arial"/>
          <w:color w:val="000000"/>
          <w:sz w:val="20"/>
          <w:szCs w:val="20"/>
        </w:rPr>
        <w:t xml:space="preserve">Aus der Analyse abzuleitende
Strategien, Maßnahmen und Verfahren:</w:t>
      </w:r>
    </w:p>
    <w:p>
      <w:pPr>
        <w:widowControl w:val="on"/>
        <w:pBdr/>
        <w:spacing w:before="140" w:after="240" w:line="288" w:lineRule="auto"/>
        <w:ind w:left="0" w:right="0"/>
        <w:jc w:val="left"/>
      </w:pPr>
      <w:r>
        <w:rPr>
          <w:rFonts w:ascii="Arial" w:hAnsi="Arial" w:eastAsia="Arial" w:cs="Arial"/>
          <w:color w:val="000000"/>
          <w:sz w:val="20"/>
          <w:szCs w:val="20"/>
        </w:rPr>
        <w:t xml:space="preserve">Ausgehend von den Ergebnissen der vorhergehenden Analyse und dem
festgestellten Risiko sind in der Kanzlei entsprechende angemessene
und geeignete Strategien und Verfahren festzulegen, wie zB
hinsichtlich der Anweisung der Mitarbeiter auf Auffälligkeiten
(„red flags“; vgl Anlagen II und III zum FM-GwG dargelegten
Faktoren für ein potenziell erhöhtes oder ein geringeres Risiko
bezüglich Produkten, Dienstleistungen, Transaktionen oder
Vertriebskanälen) bei der Mandatsabwicklung zu achten; bei PEPs,
aber auch sonst bei auffällig hohen, mit den vom oder über den
Klienten erlangten Informationen in auffälligem Missverhältnis
stehenden Beträgen ist die Mittelherkunft zu prüfen und ist daher
vorzusorgen, dass in solchen Fällen geeignete Informationen über
die Herkunft des Treuhandgeldes und Übereinstimmung mit der
bekannten wirtschaftlichen Leistungsfähigkeit eingeholt werden,
etwa Kredit- und Darlehensurkunden geprüft werden; bei
Ferngeschäften (§ 8b [3] RAO) ist etwa sicherzustellen, dass
die erste Zahlung des Mandanten über ein Konto abgewickelt wird,
das auf den Namen des Mandanten bei einem in den Anwendungsbereich
der RL (EU) 2015/849 fallenden Kreditinstitut erfolgt; bei
Übernahme von Abwicklungstreuhandschaften, die die Abwicklung über
Anderkonten erfordern, ist auf eine § 9a RAO entsprechende
Identifizierung, auch bei nicht geldwäschegeneigten Geschäften zu
achten.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Datum der Erstellung/Plan für
Überarbeitung der Risikoanalyse</w:t>
      </w:r>
    </w:p>
    <w:p>
      <w:pPr>
        <w:widowControl w:val="on"/>
        <w:pBdr/>
        <w:spacing w:before="140" w:after="240" w:line="288" w:lineRule="auto"/>
        <w:ind w:left="0" w:right="0"/>
        <w:jc w:val="left"/>
      </w:pPr>
      <w:r>
        <w:rPr>
          <w:rFonts w:ascii="Arial" w:hAnsi="Arial" w:eastAsia="Arial" w:cs="Arial"/>
          <w:color w:val="000000"/>
          <w:sz w:val="20"/>
          <w:szCs w:val="20"/>
        </w:rPr>
        <w:t xml:space="preserve">Datum der ersten vollständigen Risikoanalyse: …</w:t>
      </w:r>
    </w:p>
    <w:p>
      <w:pPr>
        <w:widowControl w:val="on"/>
        <w:pBdr/>
        <w:spacing w:before="140" w:after="240" w:line="288" w:lineRule="auto"/>
        <w:ind w:left="0" w:right="0"/>
        <w:jc w:val="left"/>
      </w:pPr>
      <w:r>
        <w:rPr>
          <w:rFonts w:ascii="Arial" w:hAnsi="Arial" w:eastAsia="Arial" w:cs="Arial"/>
          <w:color w:val="000000"/>
          <w:sz w:val="20"/>
          <w:szCs w:val="20"/>
        </w:rPr>
        <w:t xml:space="preserve">1. Aktualisierung am …</w:t>
      </w:r>
    </w:p>
    <w:p>
      <w:pPr>
        <w:widowControl w:val="on"/>
        <w:pBdr/>
        <w:spacing w:before="140" w:after="240" w:line="288" w:lineRule="auto"/>
        <w:ind w:left="0" w:right="0"/>
        <w:jc w:val="both"/>
      </w:pPr>
      <w:r>
        <w:rPr>
          <w:rFonts w:ascii="Arial" w:hAnsi="Arial" w:eastAsia="Arial" w:cs="Arial"/>
          <w:color w:val="000000"/>
          <w:sz w:val="20"/>
          <w:szCs w:val="20"/>
        </w:rPr>
        <w:t xml:space="preserve">Nächste Risikoanalyse spätestens
bis: …</w:t>
      </w:r>
    </w:p>
    <w:p>
      <w:pPr>
        <w:widowControl w:val="on"/>
        <w:pBdr/>
        <w:spacing w:before="140" w:after="240" w:line="288" w:lineRule="auto"/>
        <w:ind w:left="0" w:right="0"/>
        <w:jc w:val="both"/>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80922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899103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577744">
    <w:multiLevelType w:val="hybridMultilevel"/>
    <w:lvl w:ilvl="0" w:tplc="88569992">
      <w:start w:val="1"/>
      <w:numFmt w:val="decimal"/>
      <w:lvlText w:val="%1."/>
      <w:lvlJc w:val="left"/>
      <w:pPr>
        <w:ind w:left="720" w:hanging="360"/>
      </w:pPr>
    </w:lvl>
    <w:lvl w:ilvl="1" w:tplc="88569992" w:tentative="1">
      <w:start w:val="1"/>
      <w:numFmt w:val="lowerLetter"/>
      <w:lvlText w:val="%2."/>
      <w:lvlJc w:val="left"/>
      <w:pPr>
        <w:ind w:left="1440" w:hanging="360"/>
      </w:pPr>
    </w:lvl>
    <w:lvl w:ilvl="2" w:tplc="88569992" w:tentative="1">
      <w:start w:val="1"/>
      <w:numFmt w:val="lowerRoman"/>
      <w:lvlText w:val="%3."/>
      <w:lvlJc w:val="right"/>
      <w:pPr>
        <w:ind w:left="2160" w:hanging="180"/>
      </w:pPr>
    </w:lvl>
    <w:lvl w:ilvl="3" w:tplc="88569992" w:tentative="1">
      <w:start w:val="1"/>
      <w:numFmt w:val="decimal"/>
      <w:lvlText w:val="%4."/>
      <w:lvlJc w:val="left"/>
      <w:pPr>
        <w:ind w:left="2880" w:hanging="360"/>
      </w:pPr>
    </w:lvl>
    <w:lvl w:ilvl="4" w:tplc="88569992" w:tentative="1">
      <w:start w:val="1"/>
      <w:numFmt w:val="lowerLetter"/>
      <w:lvlText w:val="%5."/>
      <w:lvlJc w:val="left"/>
      <w:pPr>
        <w:ind w:left="3600" w:hanging="360"/>
      </w:pPr>
    </w:lvl>
    <w:lvl w:ilvl="5" w:tplc="88569992" w:tentative="1">
      <w:start w:val="1"/>
      <w:numFmt w:val="lowerRoman"/>
      <w:lvlText w:val="%6."/>
      <w:lvlJc w:val="right"/>
      <w:pPr>
        <w:ind w:left="4320" w:hanging="180"/>
      </w:pPr>
    </w:lvl>
    <w:lvl w:ilvl="6" w:tplc="88569992" w:tentative="1">
      <w:start w:val="1"/>
      <w:numFmt w:val="decimal"/>
      <w:lvlText w:val="%7."/>
      <w:lvlJc w:val="left"/>
      <w:pPr>
        <w:ind w:left="5040" w:hanging="360"/>
      </w:pPr>
    </w:lvl>
    <w:lvl w:ilvl="7" w:tplc="88569992" w:tentative="1">
      <w:start w:val="1"/>
      <w:numFmt w:val="lowerLetter"/>
      <w:lvlText w:val="%8."/>
      <w:lvlJc w:val="left"/>
      <w:pPr>
        <w:ind w:left="5760" w:hanging="360"/>
      </w:pPr>
    </w:lvl>
    <w:lvl w:ilvl="8" w:tplc="88569992" w:tentative="1">
      <w:start w:val="1"/>
      <w:numFmt w:val="lowerRoman"/>
      <w:lvlText w:val="%9."/>
      <w:lvlJc w:val="right"/>
      <w:pPr>
        <w:ind w:left="6480" w:hanging="180"/>
      </w:pPr>
    </w:lvl>
  </w:abstractNum>
  <w:abstractNum w:abstractNumId="92577743">
    <w:multiLevelType w:val="hybridMultilevel"/>
    <w:lvl w:ilvl="0" w:tplc="58557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77743">
    <w:abstractNumId w:val="92577743"/>
  </w:num>
  <w:num w:numId="92577744">
    <w:abstractNumId w:val="92577744"/>
  </w:num>
  <w:num w:numId="248991034">
    <w:abstractNumId w:val="248991034"/>
  </w:num>
  <w:num w:numId="241809228">
    <w:abstractNumId w:val="241809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11687615" Type="http://schemas.openxmlformats.org/officeDocument/2006/relationships/numbering" Target="numbering.xml"/><Relationship Id="rId21375867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