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9930686" w:name="document"/>
    <w:bookmarkEnd w:id="99930686"/>
    <w:p/>
    <w:p>
      <w:pPr>
        <w:widowControl w:val="on"/>
        <w:pBdr/>
        <w:spacing w:before="0" w:after="280" w:line="240" w:lineRule="auto"/>
        <w:ind w:left="0" w:right="0"/>
        <w:jc w:val="left"/>
      </w:pPr>
      <w:r>
        <w:rPr>
          <w:rFonts w:ascii="Arial" w:hAnsi="Arial" w:eastAsia="Arial" w:cs="Arial"/>
          <w:color w:val="363A40"/>
          <w:sz w:val="24"/>
          <w:szCs w:val="24"/>
        </w:rPr>
        <w:t xml:space="preserve">Dokument-ID: 1150058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FlexKapG (mit Sonderregeln des
FlexKapGG)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Name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ABC Windkraft FlexCo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der Betrieb von Windparks und
Stromerzeugung mittels Windkraft.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sowohl auf das In-
als auch auf das Ausland. Die Gesellschaft ist berechtigt, alle
Handlungen zu unternehmen, die geeignet erscheinen, dem Zweck der
Gesellschaft dienlich zu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außerdem berechtigt, Zweigniederlassungen
und Tochtergesellschaften zu errichten, sowohl im In- als auch im
Ausland.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 und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Jahr beginnt mit der Eintragung der Gesellschaft in
das Firmenbuch und endet mit dem darauffolgenden 31. Dezember.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(in
Worten: zehntausend Euro).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Ing. Martha Muster, geb 01.01.1981, übernimmt eine Stammeinlage
von EUR 8.000,– (achttausend Euro) und bezahlt auf diese
EUR 8.000,– bar ein. Ing. Martin Muster, geb 01.01.2001,
übernimmt eine Stammeinlage von EUR 2.000,– (zweitausend Euro)
und bezahlt auf diese EUR 2.000,– bar 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Unternehmenswert-Beteiligte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Ausgabe von Unternehmenswert-Anteilen ist zulässig; diese
dürfen aber nur in einem Ausmaß ausgegeben werden, welches
25 % des Stammkapitals nicht erreicht.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Stammeinlagen der einzelnen Unternehmenswert-Beteiligten
betragen 1 Cent.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Unternehmenswert-Beteiligten haben ein Mitverkaufsrecht,
wenn die Gründungsgesellschafter/innen ihre Geschäftsanteile
mehrheitlich veräußern. Als Gründungsgesellschafter/innen gelten
Ing. Martha Muster, geb 01.01.1981, und Ing. Martin Muster, geb
01.01.2001.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Beabsichtigen eine oder mehrere Gründungsgesellschafterinnen,
ihre Geschäftsanteile mehrheitlich an eine oder mehrere Dritte zu
verkaufen, so haben sie dafür zu sorgen und iSd § 880a zweiter
Fall ABGB zu garantieren, dass die Erwerberinnen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Gründungsgesellschafterinnen an Dritte erzielt wurden, muss ein
Preis angeboten werden, der dem nach den Verkaufsvolumina
gewichteten Durchschnitt aus den höheren Preisen bei
vorangegangenen Verkäufen und dem Preis beim nunmehrigen Verkauf
entspricht.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Geschäftsführung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soweit nur ein Geschäftsführer bestellt
ist, durch diesen vertreten. Sind mehrere Geschäftsführer bestellt,
so wird sie durch je zwei Geschäftsführer oder auch einen
Geschäftsführer gemeinsam mit einem Prokuristen vertreten.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nach § 34 GmbHG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eine Abstimmung im schriftlichen Weg ist das Einverständnis
aller Gesellschafter/innen nicht erforderlich. Für die Stimmabgabe
ist die Einhaltung der Textform (§ 13 Abs 2 AktG)
ausreichend.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Wünscht ein Gesellschafter eine Handlung oder das Unterbleiben
einer solchen und kommt hierüber ein Gesellschafterbeschluss nicht
zustande, kann bei einer Pattstellung von jedem Gesellschafter die
Entscheidung des Meinungsstreites durch einen Schiedsrichter
verlangt werden.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Geschäftsführer hat oder die Geschäftsführer haben innerhalb
von fünf Monaten nach dem Ende des Geschäftsjahres den
Jahresabschluss samt Anhang und Lagebericht aufzustellen,
unverzüglich den Gesellschaftern zu übermitteln und spätestens
innerhalb von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des
Geschäftsführers.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Teilung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nicht teilbar.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Genehmigtes Kapital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wird für höchstens fünf Jahre nach
Eintragung der Gesellschaft ermächtigt, das Stammkapital bis zu
einem Betrag von EUR 5.000,– (in Worten fünftausend Euro)
[genehmigtes Kapital] durch Ausgabe neuer Geschäftsanteile gegen
Einlagen zu erhöhen.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Ermächtigung erfasst auch die Ausgabe von Geschäftsanteilen
gegen Sacheinlagen.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2.000,– (zweitausend Euro) von der
Gesellschaft getragen und mit der tatsächlichen Höhe in den ersten
Jahresabschluss eingestellt.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5446748" w:name="note1"/>
            <w:bookmarkEnd w:id="75446748"/>
            <w:bookmarkStart w:id="4405348232340" w:name="note1"/>
            <w:r>
              <w:rPr>
                <w:rFonts w:ascii="Arial" w:hAnsi="Arial" w:eastAsia="Arial" w:cs="Arial"/>
                <w:color w:val="000000"/>
                <w:position w:val="0"/>
                <w:sz w:val="20"/>
                <w:szCs w:val="20"/>
              </w:rPr>
              <w:t xml:space="preserve">[1]</w:t>
            </w:r>
            <w:bookmarkEnd w:id="440534823234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952541" w:name="note2"/>
            <w:bookmarkEnd w:id="6952541"/>
            <w:bookmarkStart w:id="6781536534790" w:name="note2"/>
            <w:r>
              <w:rPr>
                <w:rFonts w:ascii="Arial" w:hAnsi="Arial" w:eastAsia="Arial" w:cs="Arial"/>
                <w:color w:val="000000"/>
                <w:position w:val="0"/>
                <w:sz w:val="20"/>
                <w:szCs w:val="20"/>
              </w:rPr>
              <w:t xml:space="preserve">[2]</w:t>
            </w:r>
            <w:bookmarkEnd w:id="678153653479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Rechtsformzusatz lautet „Flexible Kapitalgesellschaft“ oder
„FlexibleCompany“ oder „FlexKapG“ oder „FlexCo“.</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9595617" w:name="note3"/>
            <w:bookmarkEnd w:id="89595617"/>
            <w:bookmarkStart w:id="2256363357319" w:name="note3"/>
            <w:r>
              <w:rPr>
                <w:rFonts w:ascii="Arial" w:hAnsi="Arial" w:eastAsia="Arial" w:cs="Arial"/>
                <w:color w:val="000000"/>
                <w:position w:val="0"/>
                <w:sz w:val="20"/>
                <w:szCs w:val="20"/>
              </w:rPr>
              <w:t xml:space="preserve">[3]</w:t>
            </w:r>
            <w:bookmarkEnd w:id="225636335731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Sollen Unternehmenswert-Anteile ausgegeben werden, bedarf es
dazu einer Regelung in der Satzung (siehe § 9 FlexKapGG). Die
Stammeinlagen der einzelnen Unternehmenswert-Beteiligten müssen
mindestens 1 Cent betragen. Ein Mitverkaufsrecht bei
Geschäftsanteilsverkauf durch die Gründungsgesellschafter, die
festzulegen sind, ist im Gesellschaftsvertrag vorzusehen (§ 10
FlexKapGG).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5768950" w:name="note4"/>
            <w:bookmarkEnd w:id="35768950"/>
            <w:bookmarkStart w:id="5393596497985" w:name="note4"/>
            <w:r>
              <w:rPr>
                <w:rFonts w:ascii="Arial" w:hAnsi="Arial" w:eastAsia="Arial" w:cs="Arial"/>
                <w:color w:val="000000"/>
                <w:position w:val="0"/>
                <w:sz w:val="20"/>
                <w:szCs w:val="20"/>
              </w:rPr>
              <w:t xml:space="preserve">[4]</w:t>
            </w:r>
            <w:bookmarkEnd w:id="539359649798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Geschäftsanteile der FlexKapG sind von Gesetzes wegen
teilbar. Notwendig ist eine Regelung in der Satzung, wenn die
Teilbarkeit ausgeschlossen werden soll.</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4083768" w:name="note5"/>
            <w:bookmarkEnd w:id="94083768"/>
            <w:bookmarkStart w:id="5554920955300" w:name="note5"/>
            <w:r>
              <w:rPr>
                <w:rFonts w:ascii="Arial" w:hAnsi="Arial" w:eastAsia="Arial" w:cs="Arial"/>
                <w:color w:val="000000"/>
                <w:position w:val="0"/>
                <w:sz w:val="20"/>
                <w:szCs w:val="20"/>
              </w:rPr>
              <w:t xml:space="preserve">[5]</w:t>
            </w:r>
            <w:bookmarkEnd w:id="555492095530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Genehmigtes Kapital: Der Gesellschaftsvertrag kann die
Geschäftsführung für höchstens fünf Jahre nach Eintragung der
Gesellschaft ermächtigen, das Stammkapital bis zu einem bestimmten
Nennbetrag (genehmigtes Kapital) durch Ausgabe neuer
Geschäftsanteile gegen Einlagen zu erhöhen. Der Nennbetrag des
genehmigten Kapitals darf die Hälfte des Stammkapitals, das zur
Zeit der Ermächtigung vorhanden ist, nicht übersteigen. Die
Geschäftsführung kann auch zum Ausschluss des Bezugsrechts
ermächtigt werden, worauf in der Ankündigung des
Tagesordnungspunktes ausdrücklich hingewiesen werden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4931413" w:name="note6"/>
            <w:bookmarkEnd w:id="44931413"/>
            <w:bookmarkStart w:id="3231303603304" w:name="note6"/>
            <w:r>
              <w:rPr>
                <w:rFonts w:ascii="Arial" w:hAnsi="Arial" w:eastAsia="Arial" w:cs="Arial"/>
                <w:color w:val="000000"/>
                <w:position w:val="0"/>
                <w:sz w:val="20"/>
                <w:szCs w:val="20"/>
              </w:rPr>
              <w:t xml:space="preserve">[6]</w:t>
            </w:r>
            <w:bookmarkEnd w:id="323130360330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Gründungskosten: Der Höchstbetrag muss nach hA in einem
angemessenen Verhältnis zum Stammkapital stehen, wobei die hL
20 % als noch zulässig betrachtet (</w:t>
            </w:r>
            <w:r>
              <w:rPr>
                <w:rFonts w:ascii="Arial" w:hAnsi="Arial" w:eastAsia="Arial" w:cs="Arial"/>
                <w:i/>
                <w:iCs/>
                <w:color w:val="000000"/>
                <w:position w:val="0"/>
                <w:sz w:val="20"/>
                <w:szCs w:val="20"/>
              </w:rPr>
              <w:t xml:space="preserve">Birnbauer</w:t>
            </w:r>
            <w:r>
              <w:rPr>
                <w:rFonts w:ascii="Arial" w:hAnsi="Arial" w:eastAsia="Arial" w:cs="Arial"/>
                <w:color w:val="000000"/>
                <w:position w:val="0"/>
                <w:sz w:val="20"/>
                <w:szCs w:val="20"/>
              </w:rPr>
              <w:t xml:space="preserve">, GES
2013, 302 [305]; </w:t>
            </w:r>
            <w:r>
              <w:rPr>
                <w:rFonts w:ascii="Arial" w:hAnsi="Arial" w:eastAsia="Arial" w:cs="Arial"/>
                <w:i/>
                <w:iCs/>
                <w:color w:val="000000"/>
                <w:position w:val="0"/>
                <w:sz w:val="20"/>
                <w:szCs w:val="20"/>
              </w:rPr>
              <w:t xml:space="preserve">van Husen</w:t>
            </w:r>
            <w:r>
              <w:rPr>
                <w:rFonts w:ascii="Arial" w:hAnsi="Arial" w:eastAsia="Arial" w:cs="Arial"/>
                <w:color w:val="000000"/>
                <w:position w:val="0"/>
                <w:sz w:val="20"/>
                <w:szCs w:val="20"/>
              </w:rPr>
              <w:t xml:space="preserve"> in WK, GmbHG § 7
Rz 47; </w:t>
            </w:r>
            <w:r>
              <w:rPr>
                <w:rFonts w:ascii="Arial" w:hAnsi="Arial" w:eastAsia="Arial" w:cs="Arial"/>
                <w:i/>
                <w:iCs/>
                <w:color w:val="000000"/>
                <w:position w:val="0"/>
                <w:sz w:val="20"/>
                <w:szCs w:val="20"/>
              </w:rPr>
              <w:t xml:space="preserve">A. Winkler/M. Winkler</w:t>
            </w:r>
            <w:r>
              <w:rPr>
                <w:rFonts w:ascii="Arial" w:hAnsi="Arial" w:eastAsia="Arial" w:cs="Arial"/>
                <w:color w:val="000000"/>
                <w:position w:val="0"/>
                <w:sz w:val="20"/>
                <w:szCs w:val="20"/>
              </w:rPr>
              <w:t xml:space="preserve"> in FAH, GmbHG § 7
Rz 8; </w:t>
            </w:r>
            <w:r>
              <w:rPr>
                <w:rFonts w:ascii="Arial" w:hAnsi="Arial" w:eastAsia="Arial" w:cs="Arial"/>
                <w:i/>
                <w:iCs/>
                <w:color w:val="000000"/>
                <w:position w:val="0"/>
                <w:sz w:val="20"/>
                <w:szCs w:val="20"/>
              </w:rPr>
              <w:t xml:space="preserve">Zollner</w:t>
            </w:r>
            <w:r>
              <w:rPr>
                <w:rFonts w:ascii="Arial" w:hAnsi="Arial" w:eastAsia="Arial" w:cs="Arial"/>
                <w:color w:val="000000"/>
                <w:position w:val="0"/>
                <w:sz w:val="20"/>
                <w:szCs w:val="20"/>
              </w:rPr>
              <w:t xml:space="preserve"> in </w:t>
            </w:r>
            <w:r>
              <w:rPr>
                <w:rFonts w:ascii="Arial" w:hAnsi="Arial" w:eastAsia="Arial" w:cs="Arial"/>
                <w:i/>
                <w:iCs/>
                <w:color w:val="000000"/>
                <w:position w:val="0"/>
                <w:sz w:val="20"/>
                <w:szCs w:val="20"/>
              </w:rPr>
              <w:t xml:space="preserve">Gruber/Harrer</w:t>
            </w:r>
            <w:r>
              <w:rPr>
                <w:rFonts w:ascii="Arial" w:hAnsi="Arial" w:eastAsia="Arial" w:cs="Arial"/>
                <w:color w:val="000000"/>
                <w:position w:val="0"/>
                <w:sz w:val="20"/>
                <w:szCs w:val="20"/>
              </w:rPr>
              <w:t xml:space="preserve">, GmbHG
§ 7 Rz 11).</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52620">
    <w:multiLevelType w:val="hybridMultilevel"/>
    <w:lvl w:ilvl="0" w:tplc="87782062">
      <w:start w:val="1"/>
      <w:numFmt w:val="decimal"/>
      <w:lvlText w:val="%1."/>
      <w:lvlJc w:val="left"/>
      <w:pPr>
        <w:ind w:left="720" w:hanging="360"/>
      </w:pPr>
    </w:lvl>
    <w:lvl w:ilvl="1" w:tplc="87782062" w:tentative="1">
      <w:start w:val="1"/>
      <w:numFmt w:val="lowerLetter"/>
      <w:lvlText w:val="%2."/>
      <w:lvlJc w:val="left"/>
      <w:pPr>
        <w:ind w:left="1440" w:hanging="360"/>
      </w:pPr>
    </w:lvl>
    <w:lvl w:ilvl="2" w:tplc="87782062" w:tentative="1">
      <w:start w:val="1"/>
      <w:numFmt w:val="lowerRoman"/>
      <w:lvlText w:val="%3."/>
      <w:lvlJc w:val="right"/>
      <w:pPr>
        <w:ind w:left="2160" w:hanging="180"/>
      </w:pPr>
    </w:lvl>
    <w:lvl w:ilvl="3" w:tplc="87782062" w:tentative="1">
      <w:start w:val="1"/>
      <w:numFmt w:val="decimal"/>
      <w:lvlText w:val="%4."/>
      <w:lvlJc w:val="left"/>
      <w:pPr>
        <w:ind w:left="2880" w:hanging="360"/>
      </w:pPr>
    </w:lvl>
    <w:lvl w:ilvl="4" w:tplc="87782062" w:tentative="1">
      <w:start w:val="1"/>
      <w:numFmt w:val="lowerLetter"/>
      <w:lvlText w:val="%5."/>
      <w:lvlJc w:val="left"/>
      <w:pPr>
        <w:ind w:left="3600" w:hanging="360"/>
      </w:pPr>
    </w:lvl>
    <w:lvl w:ilvl="5" w:tplc="87782062" w:tentative="1">
      <w:start w:val="1"/>
      <w:numFmt w:val="lowerRoman"/>
      <w:lvlText w:val="%6."/>
      <w:lvlJc w:val="right"/>
      <w:pPr>
        <w:ind w:left="4320" w:hanging="180"/>
      </w:pPr>
    </w:lvl>
    <w:lvl w:ilvl="6" w:tplc="87782062" w:tentative="1">
      <w:start w:val="1"/>
      <w:numFmt w:val="decimal"/>
      <w:lvlText w:val="%7."/>
      <w:lvlJc w:val="left"/>
      <w:pPr>
        <w:ind w:left="5040" w:hanging="360"/>
      </w:pPr>
    </w:lvl>
    <w:lvl w:ilvl="7" w:tplc="87782062" w:tentative="1">
      <w:start w:val="1"/>
      <w:numFmt w:val="lowerLetter"/>
      <w:lvlText w:val="%8."/>
      <w:lvlJc w:val="left"/>
      <w:pPr>
        <w:ind w:left="5760" w:hanging="360"/>
      </w:pPr>
    </w:lvl>
    <w:lvl w:ilvl="8" w:tplc="87782062" w:tentative="1">
      <w:start w:val="1"/>
      <w:numFmt w:val="lowerRoman"/>
      <w:lvlText w:val="%9."/>
      <w:lvlJc w:val="right"/>
      <w:pPr>
        <w:ind w:left="6480" w:hanging="180"/>
      </w:pPr>
    </w:lvl>
  </w:abstractNum>
  <w:abstractNum w:abstractNumId="79152619">
    <w:multiLevelType w:val="hybridMultilevel"/>
    <w:lvl w:ilvl="0" w:tplc="68102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52619">
    <w:abstractNumId w:val="79152619"/>
  </w:num>
  <w:num w:numId="79152620">
    <w:abstractNumId w:val="791526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66723553" Type="http://schemas.openxmlformats.org/officeDocument/2006/relationships/numbering" Target="numbering.xml"/><Relationship Id="rId23123737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