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5274893" w:name="document"/>
    <w:bookmarkEnd w:id="55274893"/>
    <w:p/>
    <w:p>
      <w:pPr>
        <w:widowControl w:val="on"/>
        <w:pBdr/>
        <w:spacing w:before="0" w:after="280" w:line="240" w:lineRule="auto"/>
        <w:ind w:left="0" w:right="0"/>
        <w:jc w:val="left"/>
      </w:pPr>
      <w:r>
        <w:rPr>
          <w:rFonts w:ascii="Arial" w:hAnsi="Arial" w:eastAsia="Arial" w:cs="Arial"/>
          <w:color w:val="363A40"/>
          <w:sz w:val="24"/>
          <w:szCs w:val="24"/>
        </w:rPr>
        <w:t xml:space="preserve">Dokument-ID: 1276736 | Andrea Futterknecht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GO-Ergänzungsbausteine Nachhaltigkeit, NaDiVeG/NaBeG &amp;
CSRD</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26 Nachhaltigkeitsgrundsätze
und Verantwortung der Geschäftsführung</w:t>
      </w:r>
    </w:p>
    <w:p>
      <w:pPr>
        <w:numPr>
          <w:ilvl w:val="0"/>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trägt die Gesamtverantwortung dafür, dass
die Gesellschaft ökologisch, sozial und unternehmensethisch
verantwortungsvoll geführt wird und Nachhaltigkeitsaspekte
angemessen in Strategie, Geschäftsmodell, Prozesse und
Berichterstattung integriert werden. Dies umfasst insbesondere
Umwelt‑ (E), Sozial‑ (S) und Governance‑Belange (G).</w:t>
      </w:r>
    </w:p>
    <w:p>
      <w:pPr>
        <w:numPr>
          <w:ilvl w:val="0"/>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hat sicherzustellen, dass die für die
Gesellschaft einschlägigen gesetzlichen Nachhaltigkeits‑ und
Berichtspflichten, insbesondere nach dem Nachhaltigkeits‑ und
Diversitätsverbesserungsgesetz (NaDiVeG) und – sofern die
Gesellschaft oder ihr Konzern vom Anwendungsbereich erfasst ist –
dem Nachhaltigkeitsberichterstattungsgesetz (NaBeG) zur Umsetzung
der Corporate Sustainability Reporting Directive (CSRD),
eingehalten werden. Sie hat sich regelmäßig über den jeweiligen
Anwendungsbereich und etwaige Änderungen des Rechtsrahmens zu
informieren.</w:t>
      </w:r>
    </w:p>
    <w:p>
      <w:pPr>
        <w:numPr>
          <w:ilvl w:val="0"/>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bestimmt klare Nachhaltigkeitsgrundsätze
der Gesellschaft, die insbesondere folgende Ziele adressieren:
</w:t>
      </w:r>
    </w:p>
    <w:p>
      <w:pPr>
        <w:numPr>
          <w:ilvl w:val="1"/>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Verantwortungsvoller Umgang mit natürlichen Ressourcen und
Reduktion negativer Umweltauswirkungen</w:t>
      </w:r>
    </w:p>
    <w:p>
      <w:pPr>
        <w:numPr>
          <w:ilvl w:val="1"/>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Faire und sichere Arbeitsbedingungen, Diversität,
Gleichbehandlung und Vereinbarkeit von Beruf und Familie</w:t>
      </w:r>
    </w:p>
    <w:p>
      <w:pPr>
        <w:numPr>
          <w:ilvl w:val="1"/>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Beachtung menschenrechtlicher Sorgfaltspflichten in der
Wertschöpfungskette, soweit einschlägige europäische und nationale
Vorschriften (zB CSDDD, Lieferkettenregelungen) greifen</w:t>
      </w:r>
    </w:p>
    <w:p>
      <w:pPr>
        <w:numPr>
          <w:ilvl w:val="1"/>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Verantwortungsvolle Unternehmensführung, Integrität,
Transparenz und Bekämpfung von Korruption und
wirtschaftskriminellen Handlungen</w:t>
      </w:r>
    </w:p>
    <w:p>
      <w:pPr>
        <w:numPr>
          <w:ilvl w:val="0"/>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hat sicherzustellen, dass
Nachhaltigkeitsbelange bei wesentlichen strategischen und
operativen Entscheidungen berücksichtigt werden und dass bei
Zielkonflikten zwischen kurzfristigen wirtschaftlichen Interessen
und Nachhaltigkeitszielen eine sachgerecht dokumentierte Abwägung
erfolgt. Die Entscheidungsdokumentation nach § 22 ist
entsprechend zu erweitern.</w:t>
      </w:r>
    </w:p>
    <w:p>
      <w:pPr>
        <w:numPr>
          <w:ilvl w:val="0"/>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ist verpflichtet, Nachhaltigkeit als
Querschnittsthema in den relevanten Organisationseinheiten
(Controlling, Compliance, Risiko‑Management, Einkauf,
Redaktion/Produktentwicklung, Personal, IT, Vertrieb) zu verankern
und dafür zu sorgen, dass Zuständigkeiten, Berichtslinien und
Schnittstellen klar beschrieben werden.</w:t>
      </w:r>
    </w:p>
    <w:p>
      <w:pPr>
        <w:numPr>
          <w:ilvl w:val="0"/>
          <w:numId w:val="7009017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überprüft zumindest jährlich die
Nachhaltigkeitsgrundsätze und deren Umsetzung und nimmt
erforderliche Anpassungen vor. Die Ergebnisse sind in den Berichten
nach § 6 und § 15 der GO Minimal sowie – soweit das
Unternehmen berichtspflichtig ist – in den Nachhaltigkeits‑ bzw
ESG‑Berichten nach NaDiVeG/NaBeG darzustellen.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27 ESG‑Organisation und
Verantwortliche</w:t>
      </w:r>
    </w:p>
    <w:p>
      <w:pPr>
        <w:numPr>
          <w:ilvl w:val="0"/>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richtet eine der Größe, Branche und
Risikosituation der Gesellschaft angemessene ESG‑Organisation ein,
die die Themen Umwelt, Soziales und Governance (inkl Compliance)
systematisch steuert und koordiniert.</w:t>
      </w:r>
    </w:p>
    <w:p>
      <w:pPr>
        <w:numPr>
          <w:ilvl w:val="0"/>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ist ein ESG‑Verantwortlicher zu bestellen, der über
ausreichende Fachkompetenz verfügt und eine unmittelbare
Berichtslinie an die Geschäftsführung hat. Die ESG‑Verantwortung
kann mit der Compliance‑Verantwortung nach § 17 oder einer
anderen geeigneten Funktion kombiniert werden, sofern
Interessenkonflikte vermieden und ausreichende Ressourcen
sichergestellt werden.</w:t>
      </w:r>
    </w:p>
    <w:p>
      <w:pPr>
        <w:numPr>
          <w:ilvl w:val="0"/>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ESG‑Organisation hat insbesondere folgende Aufgaben:
</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Beobachtung der relevanten Rechtsentwicklung zu NaDiVeG,
NaBeG/CSRD, EU‑Taxonomie‑Verordnung, CSDDD und sonstigen
Nachhaltigkeitsvorschriften</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Koordination der Erhebung und Aufbereitung von ESG‑Daten in den
Fachbereichen</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Unterstützung der Geschäftsführung bei der Durchführung von
Wesentlichkeitsanalysen (doppelte Materialität) und der Festlegung
von ESG‑Zielen, Kennzahlen und Maßnahmen</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Sicherstellung der Vorbereitung, Abstimmung und zeitgerechten
Erstellung der Nachhaltigkeitsberichte nach NaDiVeG/NaBeG bzw der
entsprechenden Konzernberichte</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Unterstützung bei der Integration von ESG‑Kennzahlen in das
interne Berichtswesen (insbesondere nach §§ 14 und 15) und in
das Risiko‑Management nach §§ 18–19</w:t>
      </w:r>
    </w:p>
    <w:p>
      <w:pPr>
        <w:numPr>
          <w:ilvl w:val="0"/>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sorgt dafür, dass der ESG‑Verantwortliche
und seine Organisationseinheit mit geeigneten personellen,
fachlichen und technischen Ressourcen ausgestattet sind. Die bloße
Zuordnung „nebenbei“ ohne reale Kapazitäten gilt nicht als
angemessene Organisation im Sinne der Sorgfaltspflichten der
Geschäftsführung.</w:t>
      </w:r>
    </w:p>
    <w:p>
      <w:pPr>
        <w:numPr>
          <w:ilvl w:val="0"/>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Aufgaben und Befugnisse des ESG‑Verantwortlichen sind
schriftlich festzulegen, einschließlich:
</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Informations‑ und Zugangsrechte zu Daten und Systemen</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Initiativrechte zur Einbringung von ESG‑Themen in
Geschäftsführungssitzungen</w:t>
      </w:r>
    </w:p>
    <w:p>
      <w:pPr>
        <w:numPr>
          <w:ilvl w:val="1"/>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Mitwirkungsrechte bei Strategie, Produktentwicklung und
größeren Projekten</w:t>
      </w:r>
    </w:p>
    <w:p>
      <w:pPr>
        <w:numPr>
          <w:ilvl w:val="0"/>
          <w:numId w:val="5253946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hat sich regelmäßig – zumindest jährlich –
von der Funktionsfähigkeit der ESG‑Organisation zu überzeugen und
bei Bedarf externe Experten hinzuzuziehen.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28 Nachhaltigkeitsstrategie,
Wesentlichkeitsanalyse und Ziele</w:t>
      </w:r>
    </w:p>
    <w:p>
      <w:pPr>
        <w:numPr>
          <w:ilvl w:val="0"/>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entwickelt eine schriftliche
Nachhaltigkeitsstrategie, die mit der Unternehmensstrategie nach
Modul C und den Risiko‑ und Compliance‑Prozessen nach Modul B
verzahnt ist. Sie hat zu definieren, welche ESG‑Themen für die
Gesellschaft und ihre Wertschöpfungskette wesentlich sind.</w:t>
      </w:r>
    </w:p>
    <w:p>
      <w:pPr>
        <w:numPr>
          <w:ilvl w:val="0"/>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stellt sicher, dass für berichtspflichtige
Gesellschaften und Konzerne eine Wesentlichkeitsanalyse im Sinne
der „doppelten Materialität“ durchgeführt wird, wie sie im
europäischen Nachhaltigkeitsrecht und den European Sustainability
Reporting Standards (ESRS) vorgesehen ist. Dabei sind sowohl die
finanziellen Auswirkungen (Outside‑In‑Perspektive) als auch die
Auswirkungen der Geschäftstätigkeit auf Umwelt und Gesellschaft
(Inside‑Out‑Perspektive) zu berücksichtigen.</w:t>
      </w:r>
    </w:p>
    <w:p>
      <w:pPr>
        <w:numPr>
          <w:ilvl w:val="0"/>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Nachhaltigkeitsstrategie hat mindestens folgende Inhalte:
</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Darstellung der wichtigsten ESG‑Themen der Gesellschaft und
ihrer Wertschöpfungskette</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mittelfristiger Ziele und Ambitionsniveaus (zB
Emissionsreduktion, Energieeffizienz, Diversitätsziele,
Lieferketten‑Standards, Governance‑Verbesserungen)</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Beschreibung der geplanten Maßnahmenprogramme und Projekte zur
Erreichung dieser Ziele</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von Kennzahlen (KPIs) und Indikatoren zur Steuerung
und Überwachung</w:t>
      </w:r>
    </w:p>
    <w:p>
      <w:pPr>
        <w:numPr>
          <w:ilvl w:val="0"/>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Ergebnisse der Wesentlichkeitsanalyse sind:
</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Nachvollziehbar zu dokumentieren</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Gegenüber relevanten Stakeholdern (insbesondere
Gesellschaftern, Mitarbeitenden, wesentlichen Geschäftspartnern) in
geeigneter Weise zu kommunizieren</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Regelmäßig (mindestens alle zwei bis drei Jahre oder bei
wesentlichen Veränderungen) zu aktualisieren</w:t>
      </w:r>
    </w:p>
    <w:p>
      <w:pPr>
        <w:numPr>
          <w:ilvl w:val="0"/>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Festlegung von Nachhaltigkeitszielen darf nicht isoliert
erfolgen. Die Geschäftsführung hat sicherzustellen, dass:
</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Zielkonflikte zwischen finanziellen, rechtlichen und
ESG‑Belangen frühzeitig erkannt werden</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Risiken aus der Verfehlung von ESG‑Zielen (zB
Reputationsschäden, Zugang zu Finanzierungen, regulatorische
Sanktionen) im Risikomanagement nach §§ 18–19 berücksichtigt
werden</w:t>
      </w:r>
    </w:p>
    <w:p>
      <w:pPr>
        <w:numPr>
          <w:ilvl w:val="1"/>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jeweiligen Verantwortlichen für die Zielerreichung benannt
und mit notwendigen Ressourcen ausgestattet sind.</w:t>
      </w:r>
    </w:p>
    <w:p>
      <w:pPr>
        <w:numPr>
          <w:ilvl w:val="0"/>
          <w:numId w:val="4054810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berichtspflichtige Unternehmen nach NaDiVeG/NaBeG sind die
Nachhaltigkeitsstrategie, die Wesentlichkeitsanalyse und die Ziele
in den nichtfinanziellen bzw Nachhaltigkeitsberichten transparent
darzustellen und mit den finanziellen Berichtsinhalten zu
verknüpfen.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29
Nachhaltigkeitsberichterstattung, Datenhaushalt und Prüfung</w:t>
      </w:r>
    </w:p>
    <w:p>
      <w:pPr>
        <w:numPr>
          <w:ilvl w:val="0"/>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hat sicherzustellen, dass die gesetzlichen
Nachhaltigkeitsberichterstattungspflichten nach NaDiVeG bzw
NaBeG/CSRD rechtzeitig und vollständig erfüllt werden. Dazu gehört
insbesondere:
</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Erstellung einer nichtfinanziellen Erklärung oder eines
Nachhaltigkeitsberichts als Bestandteil des Lageberichts oder eines
separaten Berichts, entsprechend den gesetzlichen Vorgaben</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Anwendung der jeweils geltenden europäischen und nationalen
Berichtsstandards (zB ESRS) im Unternehmen bzw auf
Konzernebene</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Einhaltung der Fristen für Erstellung, Veröffentlichung und –
soweit vorgesehen – digitale Aufbereitung der
Nachhaltigkeitsinformationen</w:t>
      </w:r>
    </w:p>
    <w:p>
      <w:pPr>
        <w:numPr>
          <w:ilvl w:val="0"/>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richtet einen strukturierten Prozess zur
Erhebung, Konsolidierung und Qualitätssicherung der ESG‑Daten ein.
Dieser Prozess hat mindestens zu gewährleisten:
</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Eindeutige Zuordnung der Datenverantwortung (Data Owner) in den
Fachbereichen</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Nachvollziehbare Definition der Kennzahlen und
Berechnungslogiken</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Dokumentation der Datenquellen, Annahmen und etwaiger
Schätzmethoden</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Sicherstellung der Nachvollziehbarkeit und Prüfbarkeit der
Daten</w:t>
      </w:r>
    </w:p>
    <w:p>
      <w:pPr>
        <w:numPr>
          <w:ilvl w:val="0"/>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ESG‑Daten und Kennzahlen sind, soweit sachlich möglich, in die
finanzielle Planung und das Berichtswesen nach Modul A (Controlling
&amp; Reporting) zu integrieren, um eine konsistente Steuerung und
Darstellung von Finanz‑ und Nachhaltigkeitsinformationen zu
erreichen.</w:t>
      </w:r>
    </w:p>
    <w:p>
      <w:pPr>
        <w:numPr>
          <w:ilvl w:val="0"/>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trägt Sorge dafür, dass die
Nachhaltigkeitsberichterstattung den Anforderungen an eine externe
Prüfung genügt, soweit eine Prüfung mit begrenzter oder
hinreichender Sicherheit gesetzlich vorgesehen ist. Sie hat
frühzeitig mit der Abschlussprüferin bzw einem geeigneten
Prüfinstitut zu klären:
</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Melche Daten und Prozesse prüfungsrelevant sind</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Dokumentationen, Kontrollen und Systemnachweise benötigt
werden</w:t>
      </w:r>
    </w:p>
    <w:p>
      <w:pPr>
        <w:numPr>
          <w:ilvl w:val="1"/>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Wie mit etwaigen Datenlücken oder Schätzungen umzugehen
ist</w:t>
      </w:r>
    </w:p>
    <w:p>
      <w:pPr>
        <w:numPr>
          <w:ilvl w:val="0"/>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Ergebnisse der Nachhaltigkeitsberichterstattung,
wesentliche Feststellungen aus Prüfungen sowie identifizierte
Verbesserungsbedarfe sind im Geschäftsführungskreis zu beraten und
in geeigneter Weise in das Verbesserungs‑ und Maßnahmenmanagement
des Unternehmens zu überführen.</w:t>
      </w:r>
    </w:p>
    <w:p>
      <w:pPr>
        <w:numPr>
          <w:ilvl w:val="0"/>
          <w:numId w:val="5308447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trägt dafür Sorge, dass die Gesellschaft
auf ESG‑Datenanforderungen aus ihrer Wertschöpfungskette (zB von
Kunden, Banken, Lieferanten, ESG‑Ratings) angemessen vorbereitet
ist und keine wesentlichen Geschäftsrisiken aus fehlender
Datenlieferfähigkeit entstehen.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30 Nachhaltigkeitsrisiken,
EU‑Taxonomie und kontinuierliche Verbesserung</w:t>
      </w:r>
    </w:p>
    <w:p>
      <w:pPr>
        <w:numPr>
          <w:ilvl w:val="0"/>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hat sicherzustellen, dass
Nachhaltigkeits‑Risiken und Chancen systematisch im
Risiko‑Managementprozess nach §§ 18–19 berücksichtigt werden.
Dazu gehören insbesondere:
</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Physische Klimarisiken (zB Extremwetterereignisse),
Übergangsrisiken (zB regulatorische Veränderungen,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‑Preis, Marktveränderungen) und
Reputationsrisiken</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Soziale Risiken (zB Arbeitsbedingungen, Fachkräftemangel,
Diskriminierung, Gesundheit und Sicherheit)</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Governance‑Risiken (zB Korruption, Interessenkonflikte, Daten‑
und Informationssicherheit, KI‑Einsatz)</w:t>
      </w:r>
    </w:p>
    <w:p>
      <w:pPr>
        <w:numPr>
          <w:ilvl w:val="0"/>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ESG‑Organisation arbeitet eng mit Risiko‑Management,
Controlling und Compliance zusammen, um:
</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Wesentliche Nachhaltigkeits‑Risiken in den Risikokatalog und in
die Risikomatrix nach § 18 aufzunehmen</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Geeignete Steuerungs‑ und Kontrollmaßnahmen zu definieren und
deren Umsetzung zu überwachen</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Auswirkungen von Nachhaltigkeits‑Risiken auf Liquidität,
Eigenkapital, URG‑Kennzahlen und Fortbestehensprognose zu
bewerten</w:t>
      </w:r>
    </w:p>
    <w:p>
      <w:pPr>
        <w:numPr>
          <w:ilvl w:val="0"/>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die Gesellschaft oder der Konzern von der
EU‑Taxonomie‑Verordnung erfasst ist, hat die Geschäftsführung
sicherzustellen, dass:
</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wirtschaftlichen Tätigkeiten der Gesellschaft gemäß den
technischen Bewertungskriterien klassifiziert werden</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Offenlegung der taxonomiefähigen und taxonomiekonformen
Umsätze, Investitions‑ und Betriebsausgaben (Umsatzerlöse, CapEx,
OpEx) erfolgt</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zugrunde liegenden Prozesse und Daten nachvollziehbar
dokumentiert werden</w:t>
      </w:r>
    </w:p>
    <w:p>
      <w:pPr>
        <w:numPr>
          <w:ilvl w:val="0"/>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verpflichtet sich zur kontinuierlichen
Verbesserung des Nachhaltigkeitsmanagements. Sie hat insbesondere:
</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Regelmäßig zu prüfen, ob ESG‑Ziele erreicht werden, und
Abweichungen zu analysieren</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Verbesserungsprogramme zu beschließen und zu steuern</w:t>
      </w:r>
    </w:p>
    <w:p>
      <w:pPr>
        <w:numPr>
          <w:ilvl w:val="1"/>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Geeignete Schulungen zu Nachhaltigkeitsthemen für
Geschäftsführung, Führungskräfte und Mitarbeiter zu
organisieren</w:t>
      </w:r>
    </w:p>
    <w:p>
      <w:pPr>
        <w:numPr>
          <w:ilvl w:val="0"/>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veröffentlicht, soweit dies rechtlich und
wirtschaftlich geboten ist, ihren Fortschritt in
Nachhaltigkeitsfragen in geeigneter Form (zB
Nachhaltigkeitsbericht, Website, Stakeholder‑Informationen) und
achtet auf Konsistenz zwischen externer Kommunikation und
tatsächlicher Leistung („kein Greenwashing“).</w:t>
      </w:r>
    </w:p>
    <w:p>
      <w:pPr>
        <w:numPr>
          <w:ilvl w:val="0"/>
          <w:numId w:val="2668473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Unterstützung der laufenden Verbesserung kann die
Geschäftsführung externe ESG‑Audits, Ratings oder
Benchmarking‑Projekte beauftragen. Sie bleibt jedoch verpflichtet,
die eigene Verantwortung für Organisation, Steuerung und
Überwachung wahrzunehmen und darf sich nicht blind auf externe
Einschätzungen verlassen.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 26 Nachhaltigkeitsgrundsätze und Verantwortung der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 26 verankert Nachhaltigkeit als </w:t>
      </w:r>
      <w:r>
        <w:rPr>
          <w:rFonts w:ascii="Arial" w:hAnsi="Arial" w:eastAsia="Arial" w:cs="Arial"/>
          <w:b/>
          <w:bCs/>
          <w:color w:val="000000"/>
          <w:sz w:val="20"/>
          <w:szCs w:val="20"/>
        </w:rPr>
        <w:t xml:space="preserve">Leitungsaufgabe
der österreichischen Geschäftsführung</w:t>
      </w:r>
      <w:r>
        <w:rPr>
          <w:rFonts w:ascii="Arial" w:hAnsi="Arial" w:eastAsia="Arial" w:cs="Arial"/>
          <w:color w:val="000000"/>
          <w:sz w:val="20"/>
          <w:szCs w:val="20"/>
        </w:rPr>
        <w:t xml:space="preserve"> und knüpft direkt an
den europäischen und nationalen Rechtsrahmen an: NaDiVeG als
Umsetzung der früheren NFRD und – neu – NaBeG zur Umsetzung der
CSRD. Die Literatur betont, dass Nachhaltigkeitsberichterstattung
kein „nice‑to‑have“ mehr ist, sondern mit konkreten Organpflichten
und Haftungsrisiken verbunden ist.</w:t>
      </w:r>
    </w:p>
    <w:p>
      <w:pPr>
        <w:numPr>
          <w:ilvl w:val="0"/>
          <w:numId w:val="195743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Geschäftsführung wird ausdrücklich verpflichtet, den
Anwendungsbereich von NaDiVeG/NaBeG und CSRD laufend zu beobachten
– wichtig, da Schwellenwerte, Konzernregeln und Übergangsfristen
komplex sind und sich ändern können.</w:t>
      </w:r>
    </w:p>
    <w:p>
      <w:pPr>
        <w:numPr>
          <w:ilvl w:val="0"/>
          <w:numId w:val="195743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ESG wird als integraler Bestandteil von Strategie,
Risiko‑Management und Berichterstattung definiert; das verhindert,
dass Nachhaltigkeitsfragen nur kommunikativ behandelt werden
(„Greenwashing“) und unterstützt die Darlegung ordnungsgemäßer
Organisation im Haftungsfall.</w:t>
      </w:r>
    </w:p>
    <w:p>
      <w:pPr>
        <w:numPr>
          <w:ilvl w:val="0"/>
          <w:numId w:val="195743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jährliche Überprüfung der Nachhaltigkeitsgrundsätze und
deren Integration in die Berichte nach § 6/§ 15 schafft
eine klare Dokumentationsspur und verknüpft die GO mit den
Lageberichtspflichten.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 27 ESG‑Organisation und Verantwortliche</w:t>
      </w:r>
    </w:p>
    <w:p>
      <w:pPr>
        <w:widowControl w:val="on"/>
        <w:pBdr/>
        <w:spacing w:before="140" w:after="240" w:line="288" w:lineRule="auto"/>
        <w:ind w:left="0" w:right="0"/>
        <w:jc w:val="left"/>
      </w:pPr>
      <w:r>
        <w:rPr>
          <w:rFonts w:ascii="Arial" w:hAnsi="Arial" w:eastAsia="Arial" w:cs="Arial"/>
          <w:color w:val="000000"/>
          <w:sz w:val="20"/>
          <w:szCs w:val="20"/>
        </w:rPr>
        <w:t xml:space="preserve">§ 27 überträgt den Gedanken des
Compliance‑Management‑Systems auf </w:t>
      </w:r>
      <w:r>
        <w:rPr>
          <w:rFonts w:ascii="Arial" w:hAnsi="Arial" w:eastAsia="Arial" w:cs="Arial"/>
          <w:b/>
          <w:bCs/>
          <w:color w:val="000000"/>
          <w:sz w:val="20"/>
          <w:szCs w:val="20"/>
        </w:rPr>
        <w:t xml:space="preserve">ESG‑Organisation und
Verantwortlichkeit</w:t>
      </w:r>
      <w:r>
        <w:rPr>
          <w:rFonts w:ascii="Arial" w:hAnsi="Arial" w:eastAsia="Arial" w:cs="Arial"/>
          <w:color w:val="000000"/>
          <w:sz w:val="20"/>
          <w:szCs w:val="20"/>
        </w:rPr>
        <w:t xml:space="preserve">.</w:t>
      </w:r>
    </w:p>
    <w:p>
      <w:pPr>
        <w:numPr>
          <w:ilvl w:val="0"/>
          <w:numId w:val="891747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Bestellung eines ESG‑Verantwortlichen mit direkter
Berichtslinie an die Geschäftsführung verhindert das
„Wegdelegieren“ von Nachhaltigkeitsfragen auf einzelne
Fachabteilungen ohne Verantwortung auf Leitungsebene.</w:t>
      </w:r>
    </w:p>
    <w:p>
      <w:pPr>
        <w:numPr>
          <w:ilvl w:val="0"/>
          <w:numId w:val="891747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Aufgabenliste (Rechtsbeobachtung, Koordination der Daten,
Wesentlichkeitsanalyse, Berichtskoordination, Integration ins
Berichtswesen) orientiert sich eng an den praktischen Anforderungen
der CSRD/NaBeG‑Umsetzung und macht klar, was unter „angemessener
ESG‑Organisation“ zu verstehen ist.</w:t>
      </w:r>
    </w:p>
    <w:p>
      <w:pPr>
        <w:numPr>
          <w:ilvl w:val="0"/>
          <w:numId w:val="891747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Warnung vor bloßer „Nebenbei‑Zuweisung“ ohne Ressourcen
knüpft an österreichische Judikatur zu Organisationsverschulden und
verdeutlicht, dass eine formale Verantwortlichkeit ohne reale
Kapazität haftungsrechtlich gefährlich ist.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 28 Nachhaltigkeitsstrategie, Wesentlichkeitsanalyse
und Ziele</w:t>
      </w:r>
    </w:p>
    <w:p>
      <w:pPr>
        <w:widowControl w:val="on"/>
        <w:pBdr/>
        <w:spacing w:before="140" w:after="240" w:line="288" w:lineRule="auto"/>
        <w:ind w:left="0" w:right="0"/>
        <w:jc w:val="left"/>
      </w:pPr>
      <w:r>
        <w:rPr>
          <w:rFonts w:ascii="Arial" w:hAnsi="Arial" w:eastAsia="Arial" w:cs="Arial"/>
          <w:color w:val="000000"/>
          <w:sz w:val="20"/>
          <w:szCs w:val="20"/>
        </w:rPr>
        <w:t xml:space="preserve">§ 28 übersetzt die europäische Vorgabe der
</w:t>
      </w:r>
      <w:r>
        <w:rPr>
          <w:rFonts w:ascii="Arial" w:hAnsi="Arial" w:eastAsia="Arial" w:cs="Arial"/>
          <w:b/>
          <w:bCs/>
          <w:color w:val="000000"/>
          <w:sz w:val="20"/>
          <w:szCs w:val="20"/>
        </w:rPr>
        <w:t xml:space="preserve">doppelten Wesentlichkeit</w:t>
      </w:r>
      <w:r>
        <w:rPr>
          <w:rFonts w:ascii="Arial" w:hAnsi="Arial" w:eastAsia="Arial" w:cs="Arial"/>
          <w:color w:val="000000"/>
          <w:sz w:val="20"/>
          <w:szCs w:val="20"/>
        </w:rPr>
        <w:t xml:space="preserve"> und der ESG‑Säulen
(E‑S‑G) in eine konkrete Organisationspflicht. Die CSRD und die
ESRS verlangen, dass Unternehmen sowohl finanzielle Auswirkungen
als auch Wirkungen auf Umwelt und Gesellschaft analysieren und
berichten.</w:t>
      </w:r>
    </w:p>
    <w:p>
      <w:pPr>
        <w:numPr>
          <w:ilvl w:val="0"/>
          <w:numId w:val="9622103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Nachhaltigkeitsstrategie wird bewusst mit der Unternehmens‑
und Risikostrategie verzahnt. Das verhindert widersprüchliche
Zielsysteme (zB aggressive Wachstums‑/Kostenpläne vs ambitionierte
ESG‑Ziele ohne Ressourcen) und unterstützt eine konsistente
Fortbestehensprognose.</w:t>
      </w:r>
    </w:p>
    <w:p>
      <w:pPr>
        <w:numPr>
          <w:ilvl w:val="0"/>
          <w:numId w:val="9622103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Pflicht zur Dokumentation und Aktualisierung der
Wesentlichkeitsanalyse entspricht den Anforderungen der ESRS und
dient als Nachweis gegenüber Prüfern und Behörden, dass die
Geschäftsführung ESG‑Risiken und Chancen systematisch und nicht
selektiv behandelt.</w:t>
      </w:r>
    </w:p>
    <w:p>
      <w:pPr>
        <w:numPr>
          <w:ilvl w:val="0"/>
          <w:numId w:val="9622103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Vermeidung isolierter ESG‑Zielsetzungen („ESG‑Marketing“)
und die Zuweisung klarer Verantwortlichkeiten stärkt die
Verteidigungsposition im Fall späterer Vorwürfe unzureichender
Organisation.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 29 Nachhaltigkeitsberichterstattung, Datenhaushalt
und Prüfung</w:t>
      </w:r>
    </w:p>
    <w:p>
      <w:pPr>
        <w:widowControl w:val="on"/>
        <w:pBdr/>
        <w:spacing w:before="140" w:after="240" w:line="288" w:lineRule="auto"/>
        <w:ind w:left="0" w:right="0"/>
        <w:jc w:val="left"/>
      </w:pPr>
      <w:r>
        <w:rPr>
          <w:rFonts w:ascii="Arial" w:hAnsi="Arial" w:eastAsia="Arial" w:cs="Arial"/>
          <w:color w:val="000000"/>
          <w:sz w:val="20"/>
          <w:szCs w:val="20"/>
        </w:rPr>
        <w:t xml:space="preserve">§ 29 konkretisiert die </w:t>
      </w:r>
      <w:r>
        <w:rPr>
          <w:rFonts w:ascii="Arial" w:hAnsi="Arial" w:eastAsia="Arial" w:cs="Arial"/>
          <w:b/>
          <w:bCs/>
          <w:color w:val="000000"/>
          <w:sz w:val="20"/>
          <w:szCs w:val="20"/>
        </w:rPr>
        <w:t xml:space="preserve">Berichtspflichten und
Datenanforderungen</w:t>
      </w:r>
      <w:r>
        <w:rPr>
          <w:rFonts w:ascii="Arial" w:hAnsi="Arial" w:eastAsia="Arial" w:cs="Arial"/>
          <w:color w:val="000000"/>
          <w:sz w:val="20"/>
          <w:szCs w:val="20"/>
        </w:rPr>
        <w:t xml:space="preserve"> aus NaDiVeG, NaBeG und CSRD. Der
österreichische und europäische Diskurs zeigt, dass die Hauptlast
der Umsetzung in der Datenorganisation und Prüfungsreife liegt,
nicht im Schreiben des Berichts.</w:t>
      </w:r>
    </w:p>
    <w:p>
      <w:pPr>
        <w:numPr>
          <w:ilvl w:val="0"/>
          <w:numId w:val="832080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Paragraph legt fest, dass die Geschäftsführung nicht nur
rechtzeitig berichten, sondern auch für einen verlässlichen
ESG‑Datenhaushalt sorgen muss – mit klaren Data Ownern,
Berechnungslogik, Dokumentation und Prüfbarkeit. Das entspricht den
Anforderungen an Prüfungen mit „begrenzter“ und später
„hinreichender“ Sicherheit, wie sie im CSRD‑Regime vorgesehen
sind.</w:t>
      </w:r>
    </w:p>
    <w:p>
      <w:pPr>
        <w:numPr>
          <w:ilvl w:val="0"/>
          <w:numId w:val="832080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Integration von ESG‑Daten in das interne Controlling‑ und
Berichtssystem vermeidet Doppelstrukturen und stärkt die Fähigkeit
der Geschäftsführung, finanzielle und nichtfinanzielle Steuerung
zusammenzuführen.</w:t>
      </w:r>
    </w:p>
    <w:p>
      <w:pPr>
        <w:numPr>
          <w:ilvl w:val="0"/>
          <w:numId w:val="832080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Pflicht zur frühzeitigen Abstimmung mit Prüfern reflektiert
die praktische Erfahrung, dass spätes „Aufholen“ im Datenhaushalt
zu erheblichen Prüfungsrisiken und Kosten führt.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 30 Nachhaltigkeitsrisiken, EU‑Taxonomie und
kontinuierliche Verbesserung</w:t>
      </w:r>
    </w:p>
    <w:p>
      <w:pPr>
        <w:widowControl w:val="on"/>
        <w:pBdr/>
        <w:spacing w:before="140" w:after="240" w:line="288" w:lineRule="auto"/>
        <w:ind w:left="0" w:right="0"/>
        <w:jc w:val="left"/>
      </w:pPr>
      <w:r>
        <w:rPr>
          <w:rFonts w:ascii="Arial" w:hAnsi="Arial" w:eastAsia="Arial" w:cs="Arial"/>
          <w:color w:val="000000"/>
          <w:sz w:val="20"/>
          <w:szCs w:val="20"/>
        </w:rPr>
        <w:t xml:space="preserve">§ 30 verbindet Nachhaltigkeit mit </w:t>
      </w:r>
      <w:r>
        <w:rPr>
          <w:rFonts w:ascii="Arial" w:hAnsi="Arial" w:eastAsia="Arial" w:cs="Arial"/>
          <w:b/>
          <w:bCs/>
          <w:color w:val="000000"/>
          <w:sz w:val="20"/>
          <w:szCs w:val="20"/>
        </w:rPr>
        <w:t xml:space="preserve">Risiko‑Management
und EU‑Taxonomie</w:t>
      </w:r>
      <w:r>
        <w:rPr>
          <w:rFonts w:ascii="Arial" w:hAnsi="Arial" w:eastAsia="Arial" w:cs="Arial"/>
          <w:color w:val="000000"/>
          <w:sz w:val="20"/>
          <w:szCs w:val="20"/>
        </w:rPr>
        <w:t xml:space="preserve">. Die EU‑Regulierung macht deutlich, dass
ESG‑Risiken und Taxonomie‑Klassifizierung zentrale Elemente für
Finanzierung, Kapitalmarkt‑Zugang und Unternehmensbewertung
sind.</w:t>
      </w:r>
    </w:p>
    <w:p>
      <w:pPr>
        <w:numPr>
          <w:ilvl w:val="0"/>
          <w:numId w:val="9297086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Physische, Übergangs‑ und Reputationsrisiken werden
ausdrücklich angesprochen; dies erleichtert die Aufnahme in
Risikokataloge und Risikomatrix und unterstützt die gerichtsfeste
Darstellung, dass die Geschäftsführung ESG‑Risiken nicht übersehen
hat.</w:t>
      </w:r>
    </w:p>
    <w:p>
      <w:pPr>
        <w:numPr>
          <w:ilvl w:val="0"/>
          <w:numId w:val="9297086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Einbindung der EU‑Taxonomie‑Verordnung in die GO
(Klassifikation von Tätigkeiten, Offenlegung von Umsatzerlösen,
CapEx und OpEx) zeigt, dass die Gesellschaft die österreichische
und europäische Rechtslage ernst nimmt und sich auf künftige
Prüfungs‑ und Offenlegungsanforderungen vorbereitet.</w:t>
      </w:r>
    </w:p>
    <w:p>
      <w:pPr>
        <w:numPr>
          <w:ilvl w:val="0"/>
          <w:numId w:val="9297086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Fokus auf kontinuierliche Verbesserung und die Vermeidung
von Greenwashing entspricht den Warnungen aus Praxis und Literatur,
wonach formale Nachhaltigkeitskommunikation ohne Substanz zu
erheblichen Reputations‑ und Haftungsrisiken führen kann.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7086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2080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22103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17472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57430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6847356">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30844725">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5481043">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25394657">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00901749">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7499666">
    <w:multiLevelType w:val="hybridMultilevel"/>
    <w:lvl w:ilvl="0" w:tplc="21302764">
      <w:start w:val="1"/>
      <w:numFmt w:val="decimal"/>
      <w:lvlText w:val="%1."/>
      <w:lvlJc w:val="left"/>
      <w:pPr>
        <w:ind w:left="720" w:hanging="360"/>
      </w:pPr>
    </w:lvl>
    <w:lvl w:ilvl="1" w:tplc="21302764" w:tentative="1">
      <w:start w:val="1"/>
      <w:numFmt w:val="lowerLetter"/>
      <w:lvlText w:val="%2."/>
      <w:lvlJc w:val="left"/>
      <w:pPr>
        <w:ind w:left="1440" w:hanging="360"/>
      </w:pPr>
    </w:lvl>
    <w:lvl w:ilvl="2" w:tplc="21302764" w:tentative="1">
      <w:start w:val="1"/>
      <w:numFmt w:val="lowerRoman"/>
      <w:lvlText w:val="%3."/>
      <w:lvlJc w:val="right"/>
      <w:pPr>
        <w:ind w:left="2160" w:hanging="180"/>
      </w:pPr>
    </w:lvl>
    <w:lvl w:ilvl="3" w:tplc="21302764" w:tentative="1">
      <w:start w:val="1"/>
      <w:numFmt w:val="decimal"/>
      <w:lvlText w:val="%4."/>
      <w:lvlJc w:val="left"/>
      <w:pPr>
        <w:ind w:left="2880" w:hanging="360"/>
      </w:pPr>
    </w:lvl>
    <w:lvl w:ilvl="4" w:tplc="21302764" w:tentative="1">
      <w:start w:val="1"/>
      <w:numFmt w:val="lowerLetter"/>
      <w:lvlText w:val="%5."/>
      <w:lvlJc w:val="left"/>
      <w:pPr>
        <w:ind w:left="3600" w:hanging="360"/>
      </w:pPr>
    </w:lvl>
    <w:lvl w:ilvl="5" w:tplc="21302764" w:tentative="1">
      <w:start w:val="1"/>
      <w:numFmt w:val="lowerRoman"/>
      <w:lvlText w:val="%6."/>
      <w:lvlJc w:val="right"/>
      <w:pPr>
        <w:ind w:left="4320" w:hanging="180"/>
      </w:pPr>
    </w:lvl>
    <w:lvl w:ilvl="6" w:tplc="21302764" w:tentative="1">
      <w:start w:val="1"/>
      <w:numFmt w:val="decimal"/>
      <w:lvlText w:val="%7."/>
      <w:lvlJc w:val="left"/>
      <w:pPr>
        <w:ind w:left="5040" w:hanging="360"/>
      </w:pPr>
    </w:lvl>
    <w:lvl w:ilvl="7" w:tplc="21302764" w:tentative="1">
      <w:start w:val="1"/>
      <w:numFmt w:val="lowerLetter"/>
      <w:lvlText w:val="%8."/>
      <w:lvlJc w:val="left"/>
      <w:pPr>
        <w:ind w:left="5760" w:hanging="360"/>
      </w:pPr>
    </w:lvl>
    <w:lvl w:ilvl="8" w:tplc="21302764" w:tentative="1">
      <w:start w:val="1"/>
      <w:numFmt w:val="lowerRoman"/>
      <w:lvlText w:val="%9."/>
      <w:lvlJc w:val="right"/>
      <w:pPr>
        <w:ind w:left="6480" w:hanging="180"/>
      </w:pPr>
    </w:lvl>
  </w:abstractNum>
  <w:abstractNum w:abstractNumId="77499665">
    <w:multiLevelType w:val="hybridMultilevel"/>
    <w:lvl w:ilvl="0" w:tplc="27232375">
      <w:start w:val="1"/>
      <w:numFmt w:val="decimal"/>
      <w:lvlText w:val="%1."/>
      <w:lvlJc w:val="left"/>
      <w:pPr>
        <w:ind w:left="720" w:hanging="360"/>
      </w:pPr>
    </w:lvl>
    <w:lvl w:ilvl="1" w:tplc="27232375" w:tentative="1">
      <w:start w:val="1"/>
      <w:numFmt w:val="lowerLetter"/>
      <w:lvlText w:val="%2."/>
      <w:lvlJc w:val="left"/>
      <w:pPr>
        <w:ind w:left="1440" w:hanging="360"/>
      </w:pPr>
    </w:lvl>
    <w:lvl w:ilvl="2" w:tplc="27232375" w:tentative="1">
      <w:start w:val="1"/>
      <w:numFmt w:val="lowerRoman"/>
      <w:lvlText w:val="%3."/>
      <w:lvlJc w:val="right"/>
      <w:pPr>
        <w:ind w:left="2160" w:hanging="180"/>
      </w:pPr>
    </w:lvl>
    <w:lvl w:ilvl="3" w:tplc="27232375" w:tentative="1">
      <w:start w:val="1"/>
      <w:numFmt w:val="decimal"/>
      <w:lvlText w:val="%4."/>
      <w:lvlJc w:val="left"/>
      <w:pPr>
        <w:ind w:left="2880" w:hanging="360"/>
      </w:pPr>
    </w:lvl>
    <w:lvl w:ilvl="4" w:tplc="27232375" w:tentative="1">
      <w:start w:val="1"/>
      <w:numFmt w:val="lowerLetter"/>
      <w:lvlText w:val="%5."/>
      <w:lvlJc w:val="left"/>
      <w:pPr>
        <w:ind w:left="3600" w:hanging="360"/>
      </w:pPr>
    </w:lvl>
    <w:lvl w:ilvl="5" w:tplc="27232375" w:tentative="1">
      <w:start w:val="1"/>
      <w:numFmt w:val="lowerRoman"/>
      <w:lvlText w:val="%6."/>
      <w:lvlJc w:val="right"/>
      <w:pPr>
        <w:ind w:left="4320" w:hanging="180"/>
      </w:pPr>
    </w:lvl>
    <w:lvl w:ilvl="6" w:tplc="27232375" w:tentative="1">
      <w:start w:val="1"/>
      <w:numFmt w:val="decimal"/>
      <w:lvlText w:val="%7."/>
      <w:lvlJc w:val="left"/>
      <w:pPr>
        <w:ind w:left="5040" w:hanging="360"/>
      </w:pPr>
    </w:lvl>
    <w:lvl w:ilvl="7" w:tplc="27232375" w:tentative="1">
      <w:start w:val="1"/>
      <w:numFmt w:val="lowerLetter"/>
      <w:lvlText w:val="%8."/>
      <w:lvlJc w:val="left"/>
      <w:pPr>
        <w:ind w:left="5760" w:hanging="360"/>
      </w:pPr>
    </w:lvl>
    <w:lvl w:ilvl="8" w:tplc="27232375" w:tentative="1">
      <w:start w:val="1"/>
      <w:numFmt w:val="lowerRoman"/>
      <w:lvlText w:val="%9."/>
      <w:lvlJc w:val="right"/>
      <w:pPr>
        <w:ind w:left="6480" w:hanging="180"/>
      </w:pPr>
    </w:lvl>
  </w:abstractNum>
  <w:abstractNum w:abstractNumId="77499664">
    <w:multiLevelType w:val="hybridMultilevel"/>
    <w:lvl w:ilvl="0" w:tplc="62585452">
      <w:start w:val="1"/>
      <w:numFmt w:val="decimal"/>
      <w:lvlText w:val="%1."/>
      <w:lvlJc w:val="left"/>
      <w:pPr>
        <w:ind w:left="720" w:hanging="360"/>
      </w:pPr>
    </w:lvl>
    <w:lvl w:ilvl="1" w:tplc="62585452" w:tentative="1">
      <w:start w:val="1"/>
      <w:numFmt w:val="lowerLetter"/>
      <w:lvlText w:val="%2."/>
      <w:lvlJc w:val="left"/>
      <w:pPr>
        <w:ind w:left="1440" w:hanging="360"/>
      </w:pPr>
    </w:lvl>
    <w:lvl w:ilvl="2" w:tplc="62585452" w:tentative="1">
      <w:start w:val="1"/>
      <w:numFmt w:val="lowerRoman"/>
      <w:lvlText w:val="%3."/>
      <w:lvlJc w:val="right"/>
      <w:pPr>
        <w:ind w:left="2160" w:hanging="180"/>
      </w:pPr>
    </w:lvl>
    <w:lvl w:ilvl="3" w:tplc="62585452" w:tentative="1">
      <w:start w:val="1"/>
      <w:numFmt w:val="decimal"/>
      <w:lvlText w:val="%4."/>
      <w:lvlJc w:val="left"/>
      <w:pPr>
        <w:ind w:left="2880" w:hanging="360"/>
      </w:pPr>
    </w:lvl>
    <w:lvl w:ilvl="4" w:tplc="62585452" w:tentative="1">
      <w:start w:val="1"/>
      <w:numFmt w:val="lowerLetter"/>
      <w:lvlText w:val="%5."/>
      <w:lvlJc w:val="left"/>
      <w:pPr>
        <w:ind w:left="3600" w:hanging="360"/>
      </w:pPr>
    </w:lvl>
    <w:lvl w:ilvl="5" w:tplc="62585452" w:tentative="1">
      <w:start w:val="1"/>
      <w:numFmt w:val="lowerRoman"/>
      <w:lvlText w:val="%6."/>
      <w:lvlJc w:val="right"/>
      <w:pPr>
        <w:ind w:left="4320" w:hanging="180"/>
      </w:pPr>
    </w:lvl>
    <w:lvl w:ilvl="6" w:tplc="62585452" w:tentative="1">
      <w:start w:val="1"/>
      <w:numFmt w:val="decimal"/>
      <w:lvlText w:val="%7."/>
      <w:lvlJc w:val="left"/>
      <w:pPr>
        <w:ind w:left="5040" w:hanging="360"/>
      </w:pPr>
    </w:lvl>
    <w:lvl w:ilvl="7" w:tplc="62585452" w:tentative="1">
      <w:start w:val="1"/>
      <w:numFmt w:val="lowerLetter"/>
      <w:lvlText w:val="%8."/>
      <w:lvlJc w:val="left"/>
      <w:pPr>
        <w:ind w:left="5760" w:hanging="360"/>
      </w:pPr>
    </w:lvl>
    <w:lvl w:ilvl="8" w:tplc="62585452" w:tentative="1">
      <w:start w:val="1"/>
      <w:numFmt w:val="lowerRoman"/>
      <w:lvlText w:val="%9."/>
      <w:lvlJc w:val="right"/>
      <w:pPr>
        <w:ind w:left="6480" w:hanging="180"/>
      </w:pPr>
    </w:lvl>
  </w:abstractNum>
  <w:abstractNum w:abstractNumId="77499663">
    <w:multiLevelType w:val="hybridMultilevel"/>
    <w:lvl w:ilvl="0" w:tplc="46491764">
      <w:start w:val="1"/>
      <w:numFmt w:val="decimal"/>
      <w:lvlText w:val="%1."/>
      <w:lvlJc w:val="left"/>
      <w:pPr>
        <w:ind w:left="720" w:hanging="360"/>
      </w:pPr>
    </w:lvl>
    <w:lvl w:ilvl="1" w:tplc="46491764" w:tentative="1">
      <w:start w:val="1"/>
      <w:numFmt w:val="lowerLetter"/>
      <w:lvlText w:val="%2."/>
      <w:lvlJc w:val="left"/>
      <w:pPr>
        <w:ind w:left="1440" w:hanging="360"/>
      </w:pPr>
    </w:lvl>
    <w:lvl w:ilvl="2" w:tplc="46491764" w:tentative="1">
      <w:start w:val="1"/>
      <w:numFmt w:val="lowerRoman"/>
      <w:lvlText w:val="%3."/>
      <w:lvlJc w:val="right"/>
      <w:pPr>
        <w:ind w:left="2160" w:hanging="180"/>
      </w:pPr>
    </w:lvl>
    <w:lvl w:ilvl="3" w:tplc="46491764" w:tentative="1">
      <w:start w:val="1"/>
      <w:numFmt w:val="decimal"/>
      <w:lvlText w:val="%4."/>
      <w:lvlJc w:val="left"/>
      <w:pPr>
        <w:ind w:left="2880" w:hanging="360"/>
      </w:pPr>
    </w:lvl>
    <w:lvl w:ilvl="4" w:tplc="46491764" w:tentative="1">
      <w:start w:val="1"/>
      <w:numFmt w:val="lowerLetter"/>
      <w:lvlText w:val="%5."/>
      <w:lvlJc w:val="left"/>
      <w:pPr>
        <w:ind w:left="3600" w:hanging="360"/>
      </w:pPr>
    </w:lvl>
    <w:lvl w:ilvl="5" w:tplc="46491764" w:tentative="1">
      <w:start w:val="1"/>
      <w:numFmt w:val="lowerRoman"/>
      <w:lvlText w:val="%6."/>
      <w:lvlJc w:val="right"/>
      <w:pPr>
        <w:ind w:left="4320" w:hanging="180"/>
      </w:pPr>
    </w:lvl>
    <w:lvl w:ilvl="6" w:tplc="46491764" w:tentative="1">
      <w:start w:val="1"/>
      <w:numFmt w:val="decimal"/>
      <w:lvlText w:val="%7."/>
      <w:lvlJc w:val="left"/>
      <w:pPr>
        <w:ind w:left="5040" w:hanging="360"/>
      </w:pPr>
    </w:lvl>
    <w:lvl w:ilvl="7" w:tplc="46491764" w:tentative="1">
      <w:start w:val="1"/>
      <w:numFmt w:val="lowerLetter"/>
      <w:lvlText w:val="%8."/>
      <w:lvlJc w:val="left"/>
      <w:pPr>
        <w:ind w:left="5760" w:hanging="360"/>
      </w:pPr>
    </w:lvl>
    <w:lvl w:ilvl="8" w:tplc="46491764" w:tentative="1">
      <w:start w:val="1"/>
      <w:numFmt w:val="lowerRoman"/>
      <w:lvlText w:val="%9."/>
      <w:lvlJc w:val="right"/>
      <w:pPr>
        <w:ind w:left="6480" w:hanging="180"/>
      </w:pPr>
    </w:lvl>
  </w:abstractNum>
  <w:abstractNum w:abstractNumId="77499662">
    <w:multiLevelType w:val="hybridMultilevel"/>
    <w:lvl w:ilvl="0" w:tplc="73500413">
      <w:start w:val="1"/>
      <w:numFmt w:val="decimal"/>
      <w:lvlText w:val="%1."/>
      <w:lvlJc w:val="left"/>
      <w:pPr>
        <w:ind w:left="720" w:hanging="360"/>
      </w:pPr>
    </w:lvl>
    <w:lvl w:ilvl="1" w:tplc="73500413" w:tentative="1">
      <w:start w:val="1"/>
      <w:numFmt w:val="lowerLetter"/>
      <w:lvlText w:val="%2."/>
      <w:lvlJc w:val="left"/>
      <w:pPr>
        <w:ind w:left="1440" w:hanging="360"/>
      </w:pPr>
    </w:lvl>
    <w:lvl w:ilvl="2" w:tplc="73500413" w:tentative="1">
      <w:start w:val="1"/>
      <w:numFmt w:val="lowerRoman"/>
      <w:lvlText w:val="%3."/>
      <w:lvlJc w:val="right"/>
      <w:pPr>
        <w:ind w:left="2160" w:hanging="180"/>
      </w:pPr>
    </w:lvl>
    <w:lvl w:ilvl="3" w:tplc="73500413" w:tentative="1">
      <w:start w:val="1"/>
      <w:numFmt w:val="decimal"/>
      <w:lvlText w:val="%4."/>
      <w:lvlJc w:val="left"/>
      <w:pPr>
        <w:ind w:left="2880" w:hanging="360"/>
      </w:pPr>
    </w:lvl>
    <w:lvl w:ilvl="4" w:tplc="73500413" w:tentative="1">
      <w:start w:val="1"/>
      <w:numFmt w:val="lowerLetter"/>
      <w:lvlText w:val="%5."/>
      <w:lvlJc w:val="left"/>
      <w:pPr>
        <w:ind w:left="3600" w:hanging="360"/>
      </w:pPr>
    </w:lvl>
    <w:lvl w:ilvl="5" w:tplc="73500413" w:tentative="1">
      <w:start w:val="1"/>
      <w:numFmt w:val="lowerRoman"/>
      <w:lvlText w:val="%6."/>
      <w:lvlJc w:val="right"/>
      <w:pPr>
        <w:ind w:left="4320" w:hanging="180"/>
      </w:pPr>
    </w:lvl>
    <w:lvl w:ilvl="6" w:tplc="73500413" w:tentative="1">
      <w:start w:val="1"/>
      <w:numFmt w:val="decimal"/>
      <w:lvlText w:val="%7."/>
      <w:lvlJc w:val="left"/>
      <w:pPr>
        <w:ind w:left="5040" w:hanging="360"/>
      </w:pPr>
    </w:lvl>
    <w:lvl w:ilvl="7" w:tplc="73500413" w:tentative="1">
      <w:start w:val="1"/>
      <w:numFmt w:val="lowerLetter"/>
      <w:lvlText w:val="%8."/>
      <w:lvlJc w:val="left"/>
      <w:pPr>
        <w:ind w:left="5760" w:hanging="360"/>
      </w:pPr>
    </w:lvl>
    <w:lvl w:ilvl="8" w:tplc="73500413" w:tentative="1">
      <w:start w:val="1"/>
      <w:numFmt w:val="lowerRoman"/>
      <w:lvlText w:val="%9."/>
      <w:lvlJc w:val="right"/>
      <w:pPr>
        <w:ind w:left="6480" w:hanging="180"/>
      </w:pPr>
    </w:lvl>
  </w:abstractNum>
  <w:abstractNum w:abstractNumId="2477063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2523607">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7499661">
    <w:multiLevelType w:val="hybridMultilevel"/>
    <w:lvl w:ilvl="0" w:tplc="24775274">
      <w:start w:val="1"/>
      <w:numFmt w:val="decimal"/>
      <w:lvlText w:val="%1."/>
      <w:lvlJc w:val="left"/>
      <w:pPr>
        <w:ind w:left="720" w:hanging="360"/>
      </w:pPr>
    </w:lvl>
    <w:lvl w:ilvl="1" w:tplc="24775274" w:tentative="1">
      <w:start w:val="1"/>
      <w:numFmt w:val="lowerLetter"/>
      <w:lvlText w:val="%2."/>
      <w:lvlJc w:val="left"/>
      <w:pPr>
        <w:ind w:left="1440" w:hanging="360"/>
      </w:pPr>
    </w:lvl>
    <w:lvl w:ilvl="2" w:tplc="24775274" w:tentative="1">
      <w:start w:val="1"/>
      <w:numFmt w:val="lowerRoman"/>
      <w:lvlText w:val="%3."/>
      <w:lvlJc w:val="right"/>
      <w:pPr>
        <w:ind w:left="2160" w:hanging="180"/>
      </w:pPr>
    </w:lvl>
    <w:lvl w:ilvl="3" w:tplc="24775274" w:tentative="1">
      <w:start w:val="1"/>
      <w:numFmt w:val="decimal"/>
      <w:lvlText w:val="%4."/>
      <w:lvlJc w:val="left"/>
      <w:pPr>
        <w:ind w:left="2880" w:hanging="360"/>
      </w:pPr>
    </w:lvl>
    <w:lvl w:ilvl="4" w:tplc="24775274" w:tentative="1">
      <w:start w:val="1"/>
      <w:numFmt w:val="lowerLetter"/>
      <w:lvlText w:val="%5."/>
      <w:lvlJc w:val="left"/>
      <w:pPr>
        <w:ind w:left="3600" w:hanging="360"/>
      </w:pPr>
    </w:lvl>
    <w:lvl w:ilvl="5" w:tplc="24775274" w:tentative="1">
      <w:start w:val="1"/>
      <w:numFmt w:val="lowerRoman"/>
      <w:lvlText w:val="%6."/>
      <w:lvlJc w:val="right"/>
      <w:pPr>
        <w:ind w:left="4320" w:hanging="180"/>
      </w:pPr>
    </w:lvl>
    <w:lvl w:ilvl="6" w:tplc="24775274" w:tentative="1">
      <w:start w:val="1"/>
      <w:numFmt w:val="decimal"/>
      <w:lvlText w:val="%7."/>
      <w:lvlJc w:val="left"/>
      <w:pPr>
        <w:ind w:left="5040" w:hanging="360"/>
      </w:pPr>
    </w:lvl>
    <w:lvl w:ilvl="7" w:tplc="24775274" w:tentative="1">
      <w:start w:val="1"/>
      <w:numFmt w:val="lowerLetter"/>
      <w:lvlText w:val="%8."/>
      <w:lvlJc w:val="left"/>
      <w:pPr>
        <w:ind w:left="5760" w:hanging="360"/>
      </w:pPr>
    </w:lvl>
    <w:lvl w:ilvl="8" w:tplc="24775274" w:tentative="1">
      <w:start w:val="1"/>
      <w:numFmt w:val="lowerRoman"/>
      <w:lvlText w:val="%9."/>
      <w:lvlJc w:val="right"/>
      <w:pPr>
        <w:ind w:left="6480" w:hanging="180"/>
      </w:pPr>
    </w:lvl>
  </w:abstractNum>
  <w:abstractNum w:abstractNumId="77499660">
    <w:multiLevelType w:val="hybridMultilevel"/>
    <w:lvl w:ilvl="0" w:tplc="63475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99660">
    <w:abstractNumId w:val="77499660"/>
  </w:num>
  <w:num w:numId="77499661">
    <w:abstractNumId w:val="77499661"/>
  </w:num>
  <w:num w:numId="202523607">
    <w:abstractNumId w:val="202523607"/>
  </w:num>
  <w:num w:numId="247706379">
    <w:abstractNumId w:val="247706379"/>
  </w:num>
  <w:num w:numId="77499662">
    <w:abstractNumId w:val="77499662"/>
  </w:num>
  <w:num w:numId="77499663">
    <w:abstractNumId w:val="77499663"/>
  </w:num>
  <w:num w:numId="77499664">
    <w:abstractNumId w:val="77499664"/>
  </w:num>
  <w:num w:numId="77499665">
    <w:abstractNumId w:val="77499665"/>
  </w:num>
  <w:num w:numId="77499666">
    <w:abstractNumId w:val="77499666"/>
  </w:num>
  <w:num w:numId="700901749">
    <w:abstractNumId w:val="700901749"/>
  </w:num>
  <w:num w:numId="525394657">
    <w:abstractNumId w:val="525394657"/>
  </w:num>
  <w:num w:numId="405481043">
    <w:abstractNumId w:val="405481043"/>
  </w:num>
  <w:num w:numId="530844725">
    <w:abstractNumId w:val="530844725"/>
  </w:num>
  <w:num w:numId="266847356">
    <w:abstractNumId w:val="266847356"/>
  </w:num>
  <w:num w:numId="195743006">
    <w:abstractNumId w:val="195743006"/>
  </w:num>
  <w:num w:numId="891747231">
    <w:abstractNumId w:val="891747231"/>
  </w:num>
  <w:num w:numId="962210336">
    <w:abstractNumId w:val="962210336"/>
  </w:num>
  <w:num w:numId="83208056">
    <w:abstractNumId w:val="83208056"/>
  </w:num>
  <w:num w:numId="929708617">
    <w:abstractNumId w:val="929708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3084608" Type="http://schemas.openxmlformats.org/officeDocument/2006/relationships/numbering" Target="numbering.xml"/><Relationship Id="rId19959420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