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comments.xml" ContentType="application/vnd.openxmlformats-officedocument.wordprocessingml.comment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44133050" w:name="document"/>
    <w:bookmarkEnd w:id="44133050"/>
    <w:p/>
    <w:p>
      <w:pPr>
        <w:widowControl w:val="on"/>
        <w:pBdr/>
        <w:spacing w:before="0" w:after="280" w:line="240" w:lineRule="auto"/>
        <w:ind w:left="0" w:right="0"/>
        <w:jc w:val="left"/>
      </w:pPr>
      <w:r>
        <w:rPr>
          <w:rFonts w:ascii="Arial" w:hAnsi="Arial" w:eastAsia="Arial" w:cs="Arial"/>
          <w:color w:val="363A40"/>
          <w:sz w:val="24"/>
          <w:szCs w:val="24"/>
        </w:rPr>
        <w:t xml:space="preserve">Dokument-ID: 976258 | WEKA (red) - Stanislava
Doganova | Muster | Vertragsmuster</w:t>
      </w:r>
    </w:p>
    <w:p>
      <w:pPr>
        <w:widowControl w:val="on"/>
        <w:pBdr/>
        <w:spacing w:before="340" w:after="220" w:line="268" w:lineRule="auto"/>
        <w:ind w:left="0" w:right="0"/>
        <w:jc w:val="left"/>
        <w:outlineLvl w:val="0"/>
      </w:pPr>
      <w:r>
        <w:rPr>
          <w:rFonts w:ascii="Arial" w:hAnsi="Arial" w:eastAsia="Arial" w:cs="Arial"/>
          <w:color w:val="363A40"/>
          <w:sz w:val="36"/>
          <w:szCs w:val="36"/>
        </w:rPr>
        <w:t xml:space="preserve">Einfacher Gesellschaftsvertrag einer GmbH &amp; Co KG mit
Komplementär-GmbH</w:t>
      </w:r>
    </w:p>
    <w:p>
      <w:pPr>
        <w:widowControl w:val="on"/>
        <w:pBdr/>
        <w:spacing w:before="240" w:after="60" w:line="346" w:lineRule="auto"/>
        <w:ind w:left="0" w:right="0"/>
        <w:jc w:val="center"/>
        <w:outlineLvl w:val="1"/>
      </w:pPr>
      <w:r>
        <w:rPr>
          <w:rFonts w:ascii="Arial" w:hAnsi="Arial" w:eastAsia="Arial" w:cs="Arial"/>
          <w:color w:val="363A40"/>
          <w:sz w:val="28"/>
          <w:szCs w:val="28"/>
        </w:rPr>
        <w:t xml:space="preserve">I. Gesellschafter</w:t>
      </w:r>
    </w:p>
    <w:p>
      <w:pPr>
        <w:widowControl w:val="on"/>
        <w:pBdr/>
        <w:spacing w:before="140" w:after="240" w:line="288" w:lineRule="auto"/>
        <w:ind w:left="0" w:right="0"/>
        <w:jc w:val="left"/>
      </w:pPr>
      <w:r>
        <w:rPr>
          <w:rFonts w:ascii="Arial" w:hAnsi="Arial" w:eastAsia="Arial" w:cs="Arial"/>
          <w:color w:val="000000"/>
          <w:sz w:val="20"/>
          <w:szCs w:val="20"/>
        </w:rPr>
        <w:t xml:space="preserve">(1) Frau Annette Auer, wohnhaft in …</w:t>
      </w:r>
    </w:p>
    <w:p>
      <w:pPr>
        <w:widowControl w:val="on"/>
        <w:pBdr/>
        <w:spacing w:before="140" w:after="240" w:line="288" w:lineRule="auto"/>
        <w:ind w:left="0" w:right="0"/>
        <w:jc w:val="left"/>
      </w:pPr>
      <w:r>
        <w:rPr>
          <w:rFonts w:ascii="Arial" w:hAnsi="Arial" w:eastAsia="Arial" w:cs="Arial"/>
          <w:color w:val="000000"/>
          <w:sz w:val="20"/>
          <w:szCs w:val="20"/>
        </w:rPr>
        <w:t xml:space="preserve">(2) Frau Katja Bauer, wohnhaft in … und</w:t>
      </w:r>
    </w:p>
    <w:p>
      <w:pPr>
        <w:widowControl w:val="on"/>
        <w:pBdr/>
        <w:spacing w:before="140" w:after="240" w:line="288" w:lineRule="auto"/>
        <w:ind w:left="0" w:right="0"/>
        <w:jc w:val="left"/>
      </w:pPr>
      <w:r>
        <w:rPr>
          <w:rFonts w:ascii="Arial" w:hAnsi="Arial" w:eastAsia="Arial" w:cs="Arial"/>
          <w:color w:val="000000"/>
          <w:sz w:val="20"/>
          <w:szCs w:val="20"/>
        </w:rPr>
        <w:t xml:space="preserve">(3) Frau Barbara Luxbach, wohnhaft in …</w:t>
      </w:r>
    </w:p>
    <w:p>
      <w:pPr>
        <w:widowControl w:val="on"/>
        <w:pBdr/>
        <w:spacing w:before="140" w:after="240" w:line="288" w:lineRule="auto"/>
        <w:ind w:left="0" w:right="0"/>
        <w:jc w:val="left"/>
      </w:pPr>
      <w:r>
        <w:rPr>
          <w:rFonts w:ascii="Arial" w:hAnsi="Arial" w:eastAsia="Arial" w:cs="Arial"/>
          <w:color w:val="000000"/>
          <w:sz w:val="20"/>
          <w:szCs w:val="20"/>
        </w:rPr>
        <w:t xml:space="preserve">errichten mit heutigem Tag eine Gesellschaft mit beschränkter
Haftung im Sinne des Gesetzes über Gesellschaften mit beschränkter
Haftung vom 06.03.1906 (sechster März eintausendneunhundertsechs),
kundgemacht im Reichsgesetzblatt Nr 58 (achtundfünfzig) in der
geltenden Fassung.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führt die Firma: Autohaus Huber GmbH</w:t>
      </w:r>
    </w:p>
    <w:p>
      <w:pPr>
        <w:widowControl w:val="on"/>
        <w:pBdr/>
        <w:spacing w:before="140" w:after="240" w:line="288" w:lineRule="auto"/>
        <w:ind w:left="0" w:right="0"/>
        <w:jc w:val="left"/>
      </w:pPr>
      <w:r>
        <w:rPr>
          <w:rFonts w:ascii="Arial" w:hAnsi="Arial" w:eastAsia="Arial" w:cs="Arial"/>
          <w:color w:val="000000"/>
          <w:sz w:val="20"/>
          <w:szCs w:val="20"/>
        </w:rPr>
        <w:t xml:space="preserve">(2) Der Sitz der Gesellschaft ist in 6370 Kitzbühel.</w:t>
      </w:r>
    </w:p>
    <w:p>
      <w:pPr>
        <w:widowControl w:val="on"/>
        <w:pBdr/>
        <w:spacing w:before="140" w:after="240" w:line="288" w:lineRule="auto"/>
        <w:ind w:left="0" w:right="0"/>
        <w:jc w:val="left"/>
      </w:pPr>
      <w:r>
        <w:rPr>
          <w:rFonts w:ascii="Arial" w:hAnsi="Arial" w:eastAsia="Arial" w:cs="Arial"/>
          <w:color w:val="000000"/>
          <w:sz w:val="20"/>
          <w:szCs w:val="20"/>
        </w:rPr>
        <w:t xml:space="preserve">(3) Zweigniederlassungen im In- und Ausland können errichtet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(1) Gegenstand des Unternehmens ist</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Betrieb einer Kraftfahrzeug-Werkstätte,</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Handel mit Neu- und Gebrauchtwagen,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der Geschäftsführung einer oder mehrerer
Kommanditgesellschaften.</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Außerdem ist die Gesellschaft zu allen Handlungen,
Geschäften und Maßnahmen berechtigt, die zur Erreichung des
Gesellschaftszweckes förderlich erscheinen, wie insbesondere:</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Der Erwerb bzw die Pacht von sowie die Beteiligung an anderen
Gesellschaften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Die Übernahme einschlägiger Handelsvertretungen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(1) Das Stammkapital der Gesellschaft beträgt EUR 12.000,–
(in Worten zwölftausend Euro) und wird von den Gesellschaftern mit
folgenden Stammeinlagen übernommen, welche zur Gänze geleistet
werden.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Barbara Luxbach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Annette Auer übernimmt eine Stammeinlage von …
EUR 4.000,–.</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1.3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Frau Katja Auer übernimmt eine Stammeinlage von …
EUR 4.000,–.</w:t>
            </w:r>
          </w:p>
        </w:tc>
      </w:tr>
    </w:tbl>
    <w:p>
      <w:pPr>
        <w:widowControl w:val="on"/>
        <w:pBdr/>
        <w:spacing w:before="140" w:after="240" w:line="288" w:lineRule="auto"/>
        <w:ind w:left="0" w:right="0"/>
        <w:jc w:val="left"/>
      </w:pPr>
      <w:r>
        <w:rPr>
          <w:rFonts w:ascii="Arial" w:hAnsi="Arial" w:eastAsia="Arial" w:cs="Arial"/>
          <w:color w:val="000000"/>
          <w:sz w:val="20"/>
          <w:szCs w:val="20"/>
        </w:rPr>
        <w:t xml:space="preserve">(2) Eine Nachschusspflicht wurde nicht vereinbart.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 Dauer der Gesellschaft und
Geschäftsjahr</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wird auf unbestimmte Zeit errichtet.</w:t>
      </w:r>
    </w:p>
    <w:p>
      <w:pPr>
        <w:widowControl w:val="on"/>
        <w:pBdr/>
        <w:spacing w:before="140" w:after="240" w:line="288" w:lineRule="auto"/>
        <w:ind w:left="0" w:right="0"/>
        <w:jc w:val="left"/>
      </w:pPr>
      <w:r>
        <w:rPr>
          <w:rFonts w:ascii="Arial" w:hAnsi="Arial" w:eastAsia="Arial" w:cs="Arial"/>
          <w:color w:val="000000"/>
          <w:sz w:val="20"/>
          <w:szCs w:val="20"/>
        </w:rPr>
        <w:t xml:space="preserve">(2) Das erste Geschäftsjahr beginnt mit dem Tag der Eintragung
in das vom Registergericht zu führende Firmenbuch und endet am
darauf folgenden 31.12. (einunddreißigsten Dezember) des Jahres der
Eintragung. Die weiteren Geschäftsjahre sind ident mit dem
Kalenderjahr.</w:t>
      </w:r>
    </w:p>
    <w:p>
      <w:pPr>
        <w:widowControl w:val="on"/>
        <w:pBdr/>
        <w:spacing w:before="140" w:after="240" w:line="288" w:lineRule="auto"/>
        <w:ind w:left="0" w:right="0"/>
        <w:jc w:val="left"/>
      </w:pPr>
      <w:r>
        <w:rPr>
          <w:rFonts w:ascii="Arial" w:hAnsi="Arial" w:eastAsia="Arial" w:cs="Arial"/>
          <w:color w:val="000000"/>
          <w:sz w:val="20"/>
          <w:szCs w:val="20"/>
        </w:rPr>
        <w:t xml:space="preserve">(3) Ein abweichendes Wirtschaftsjahr kann – vorbehaltlich der
Genehmigung durch das Finanzamt – von den Gesellschaftern
beschlossen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(1) Die Gesellschaft hat einen oder mehrere Geschäftsführer.</w:t>
      </w:r>
    </w:p>
    <w:p>
      <w:pPr>
        <w:widowControl w:val="on"/>
        <w:pBdr/>
        <w:spacing w:before="140" w:after="240" w:line="288" w:lineRule="auto"/>
        <w:ind w:left="0" w:right="0"/>
        <w:jc w:val="left"/>
      </w:pPr>
      <w:r>
        <w:rPr>
          <w:rFonts w:ascii="Arial" w:hAnsi="Arial" w:eastAsia="Arial" w:cs="Arial"/>
          <w:color w:val="000000"/>
          <w:sz w:val="20"/>
          <w:szCs w:val="20"/>
        </w:rPr>
        <w:t xml:space="preserve">(2) Die Geschäftsführer besorgen die Geschäftsführung der
Gesellschaft und vertreten diese gerichtlich wie
außergerichtlich.</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Geschäftsführer dürfen ohne Einwilligung der
Gesellschaft weder Geschäfte in deren Geschäftszweig für eigene
oder fremde Rechnung machen, noch einer Gesellschaft des gleichen
Geschäftszweiges als persönlich haftender Gesellschafter, als
Geschäftsführer, Vorstands- oder Aufsichtsratsmitglied
angehören.</w:t>
      </w:r>
    </w:p>
    <w:p>
      <w:pPr>
        <w:widowControl w:val="on"/>
        <w:pBdr/>
        <w:spacing w:before="140" w:after="240" w:line="288" w:lineRule="auto"/>
        <w:ind w:left="0" w:right="0"/>
        <w:jc w:val="left"/>
      </w:pPr>
      <w:r>
        <w:rPr>
          <w:rFonts w:ascii="Arial" w:hAnsi="Arial" w:eastAsia="Arial" w:cs="Arial"/>
          <w:color w:val="000000"/>
          <w:sz w:val="20"/>
          <w:szCs w:val="20"/>
        </w:rPr>
        <w:t xml:space="preserve">(4) Zur selbstständig vertretungsbefugten Geschäftsführerin wird
hiemit – längstens auf die Dauer ihrer Zugehörigkeit zur
Gesellschaft – Frau Annette Auer, bestellt.</w:t>
      </w:r>
    </w:p>
    <w:p>
      <w:pPr>
        <w:widowControl w:val="on"/>
        <w:pBdr/>
        <w:spacing w:before="140" w:after="240" w:line="288" w:lineRule="auto"/>
        <w:ind w:left="0" w:right="0"/>
        <w:jc w:val="left"/>
      </w:pPr>
      <w:r>
        <w:rPr>
          <w:rFonts w:ascii="Arial" w:hAnsi="Arial" w:eastAsia="Arial" w:cs="Arial"/>
          <w:color w:val="000000"/>
          <w:sz w:val="20"/>
          <w:szCs w:val="20"/>
        </w:rPr>
        <w:t xml:space="preserve">Die Zulässigkeit des Widerrufs ihrer Bestellung wird auf
wichtige Gründe beschränkt. Als solche gelten insbesondere die
Entlassungstatbestände des § 27 AngG.</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Die Vertretung der Gesellschaft, die Firmenzeichnung sowie
die Abgabe von Willenserklärungen erfolgt – solange nur ein
Geschäftsführer bestellt ist – durch diesen selbstständig.</w:t>
      </w:r>
    </w:p>
    <w:p>
      <w:pPr>
        <w:widowControl w:val="on"/>
        <w:pBdr/>
        <w:spacing w:before="140" w:after="240" w:line="288" w:lineRule="auto"/>
        <w:ind w:left="0" w:right="0"/>
        <w:jc w:val="left"/>
      </w:pPr>
      <w:r>
        <w:rPr>
          <w:rFonts w:ascii="Arial" w:hAnsi="Arial" w:eastAsia="Arial" w:cs="Arial"/>
          <w:color w:val="000000"/>
          <w:sz w:val="20"/>
          <w:szCs w:val="20"/>
        </w:rPr>
        <w:t xml:space="preserve">(2) Sind zwei oder mehrere Geschäftsführer bestellt, so wird
deren Vertretungsrecht mit dem jeweiligen Bestellungsbeschluss
geregelt.</w:t>
      </w:r>
    </w:p>
    <w:p>
      <w:pPr>
        <w:widowControl w:val="on"/>
        <w:pBdr/>
        <w:spacing w:before="140" w:after="240" w:line="288" w:lineRule="auto"/>
        <w:ind w:left="0" w:right="0"/>
        <w:jc w:val="left"/>
      </w:pPr>
      <w:r>
        <w:rPr>
          <w:rFonts w:ascii="Arial" w:hAnsi="Arial" w:eastAsia="Arial" w:cs="Arial"/>
          <w:color w:val="000000"/>
          <w:sz w:val="20"/>
          <w:szCs w:val="20"/>
        </w:rPr>
        <w:t xml:space="preserve">(3) Die Geschäftsführung erstreckt sich auf alle Handlungen die
der gewöhnliche Geschäftsbetrieb der Gesellschaft mit sich
bringt.</w:t>
      </w:r>
    </w:p>
    <w:p>
      <w:pPr>
        <w:widowControl w:val="on"/>
        <w:pBdr/>
        <w:spacing w:before="140" w:after="240" w:line="288" w:lineRule="auto"/>
        <w:ind w:left="0" w:right="0"/>
        <w:jc w:val="left"/>
      </w:pPr>
      <w:r>
        <w:rPr>
          <w:rFonts w:ascii="Arial" w:hAnsi="Arial" w:eastAsia="Arial" w:cs="Arial"/>
          <w:color w:val="000000"/>
          <w:sz w:val="20"/>
          <w:szCs w:val="20"/>
        </w:rPr>
        <w:t xml:space="preserve">(4) Für den Abschluss von darüber hinausgehenden, sohin also
außergewöhnlichen Geschäften, bedarf es der Zustimmung der
Generalversammlung mit einer Mehrheit von 75 % (in Worten:
fünfundsiebzig Prozent) des eingezahlten Stammkapitals.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(1) Die Bestellung von Prokuristen und deren Abberufung erfolgt
durch sämtliche Geschäftsführer gemeinsam.</w:t>
      </w:r>
    </w:p>
    <w:p>
      <w:pPr>
        <w:widowControl w:val="on"/>
        <w:pBdr/>
        <w:spacing w:before="140" w:after="240" w:line="288" w:lineRule="auto"/>
        <w:ind w:left="0" w:right="0"/>
        <w:jc w:val="left"/>
      </w:pPr>
      <w:r>
        <w:rPr>
          <w:rFonts w:ascii="Arial" w:hAnsi="Arial" w:eastAsia="Arial" w:cs="Arial"/>
          <w:color w:val="000000"/>
          <w:sz w:val="20"/>
          <w:szCs w:val="20"/>
        </w:rPr>
        <w:t xml:space="preserve">(2) Der Anstellungsvertrag mit dem Prokuristen wird von
sämtlichen Geschäftsführern gemeinsam abgeschlossen. Es darf keine
längere Kündigungsfrist vereinbart werden als die gesetzlich
vorgesehene Kündigungsfrist des Angestelltengesetzes.</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(1) Die Generalversammlung ist das oberste Organ der
Gesellschaft, das auch über in die Kompetenz anderer Organe
gehörende Fragen Entscheidungen treffen kann.</w:t>
      </w:r>
    </w:p>
    <w:p>
      <w:pPr>
        <w:widowControl w:val="on"/>
        <w:pBdr/>
        <w:spacing w:before="140" w:after="240" w:line="288" w:lineRule="auto"/>
        <w:ind w:left="0" w:right="0"/>
        <w:jc w:val="left"/>
      </w:pPr>
      <w:r>
        <w:rPr>
          <w:rFonts w:ascii="Arial" w:hAnsi="Arial" w:eastAsia="Arial" w:cs="Arial"/>
          <w:color w:val="000000"/>
          <w:sz w:val="20"/>
          <w:szCs w:val="20"/>
        </w:rPr>
        <w:t xml:space="preserve">(2) Die Generalversammlung findet am Sitz der Gesellschaft statt
und ist von den Geschäftsführern unter Angabe der Tagesordnung
einzuberufen. Zwischen der Aussendung der Einladung und dem Tag der
Abhaltung der Generalversammlung muss ein Zeitraum von mindestens
14 (vierzehn) Tagen liegen. Die Einberufung erfolgt gültig, wenn
sie eingeschrieben an die zuletzt der Gesellschaft bekannt
gegebenen Adressen der Gesellschafter erfolgt.</w:t>
      </w:r>
    </w:p>
    <w:p>
      <w:pPr>
        <w:widowControl w:val="on"/>
        <w:pBdr/>
        <w:spacing w:before="140" w:after="240" w:line="288" w:lineRule="auto"/>
        <w:ind w:left="0" w:right="0"/>
        <w:jc w:val="left"/>
      </w:pPr>
      <w:r>
        <w:rPr>
          <w:rFonts w:ascii="Arial" w:hAnsi="Arial" w:eastAsia="Arial" w:cs="Arial"/>
          <w:color w:val="000000"/>
          <w:sz w:val="20"/>
          <w:szCs w:val="20"/>
        </w:rPr>
        <w:t xml:space="preserve">(3) Gesellschafterversammlungen können ebenso als hybride
Gesellschafterversammlungen abgehalten werden, bei denen jeder
Teilnehmer zwischen einer physischen und einer virtuellen Teilnahme
entscheiden kann. Das einberufende Organ hat allen Teilnehmern den
barrierefreien Zugang zur hybriden Gesellschafterversammlung zu
gewährleisten.</w:t>
      </w:r>
    </w:p>
    <w:p>
      <w:pPr>
        <w:widowControl w:val="on"/>
        <w:pBdr/>
        <w:spacing w:before="140" w:after="240" w:line="288" w:lineRule="auto"/>
        <w:ind w:left="0" w:right="0"/>
        <w:jc w:val="left"/>
      </w:pPr>
      <w:r>
        <w:rPr>
          <w:rFonts w:ascii="Arial" w:hAnsi="Arial" w:eastAsia="Arial" w:cs="Arial"/>
          <w:color w:val="000000"/>
          <w:sz w:val="20"/>
          <w:szCs w:val="20"/>
        </w:rPr>
        <w:t xml:space="preserve">(4) Die Teilnahmemöglichkeit an der virtuellen
Gesellschafterversammlung mittels einer akustischen und optischen
Zweiweg-Verbindung in Echtzeit muss bestehen. Es muss jedem
Gesellschafter möglich sein, sich zu Wort zu melden, an allen
Abstimmungen teilzunehmen und gegebenenfalls Widerspruch zu
erheben. Wird einem Gesellschafter das Wort erteilt, ist ihm eine
Redemöglichkeit im Weg der Videokommunikation zu gewähren.</w:t>
      </w:r>
    </w:p>
    <w:p>
      <w:pPr>
        <w:widowControl w:val="on"/>
        <w:pBdr/>
        <w:spacing w:before="140" w:after="240" w:line="288" w:lineRule="auto"/>
        <w:ind w:left="0" w:right="0"/>
        <w:jc w:val="left"/>
      </w:pPr>
      <w:r>
        <w:rPr>
          <w:rFonts w:ascii="Arial" w:hAnsi="Arial" w:eastAsia="Arial" w:cs="Arial"/>
          <w:color w:val="000000"/>
          <w:sz w:val="20"/>
          <w:szCs w:val="20"/>
        </w:rPr>
        <w:t xml:space="preserve">(5) Bei allen Abstimmungen können die Gesellschafter ihr
Stimmrecht im Weg elektronischer Kommunikation ausüben und auf
diese Weise gegebenenfalls auch Widerspruch erheben.</w:t>
      </w:r>
    </w:p>
    <w:p>
      <w:pPr>
        <w:widowControl w:val="on"/>
        <w:pBdr/>
        <w:spacing w:before="140" w:after="240" w:line="288" w:lineRule="auto"/>
        <w:ind w:left="0" w:right="0"/>
        <w:jc w:val="left"/>
      </w:pPr>
      <w:r>
        <w:rPr>
          <w:rFonts w:ascii="Arial" w:hAnsi="Arial" w:eastAsia="Arial" w:cs="Arial"/>
          <w:color w:val="000000"/>
          <w:sz w:val="20"/>
          <w:szCs w:val="20"/>
        </w:rPr>
        <w:t xml:space="preserve">In der Einberufung der hybriden Gesellschafterversammlung ist
anzugeben, welche organisatorischen und technischen Voraussetzungen
für die Teilnahme an der hybriden Gesellschafterversammlung
bestehen.</w:t>
      </w:r>
    </w:p>
    <w:p>
      <w:pPr>
        <w:widowControl w:val="on"/>
        <w:pBdr/>
        <w:spacing w:before="140" w:after="240" w:line="288" w:lineRule="auto"/>
        <w:ind w:left="0" w:right="0"/>
        <w:jc w:val="left"/>
      </w:pPr>
      <w:r>
        <w:rPr>
          <w:rFonts w:ascii="Arial" w:hAnsi="Arial" w:eastAsia="Arial" w:cs="Arial"/>
          <w:color w:val="000000"/>
          <w:sz w:val="20"/>
          <w:szCs w:val="20"/>
        </w:rPr>
        <w:t xml:space="preserve">(6) Eine nicht vorschriftsmäßig einberufene Generalversammlung
kann nur dann Beschlüsse fassen, wenn alle Gesellschafter anwesend
sind und keiner von ihnen Einwände gegen die Abhaltung der
Generalversammlung erhebt.</w:t>
      </w:r>
    </w:p>
    <w:p>
      <w:pPr>
        <w:widowControl w:val="on"/>
        <w:pBdr/>
        <w:spacing w:before="140" w:after="240" w:line="288" w:lineRule="auto"/>
        <w:ind w:left="0" w:right="0"/>
        <w:jc w:val="left"/>
      </w:pPr>
      <w:r>
        <w:rPr>
          <w:rFonts w:ascii="Arial" w:hAnsi="Arial" w:eastAsia="Arial" w:cs="Arial"/>
          <w:color w:val="000000"/>
          <w:sz w:val="20"/>
          <w:szCs w:val="20"/>
        </w:rPr>
        <w:t xml:space="preserve">(7) Die Generalversammlung ist beschlussfähig, wenn zumindest
75 % (fünfundsiebzig Prozent) des eingezahlten Stammkapitals
vertreten sind.</w:t>
      </w:r>
    </w:p>
    <w:p>
      <w:pPr>
        <w:widowControl w:val="on"/>
        <w:pBdr/>
        <w:spacing w:before="140" w:after="240" w:line="288" w:lineRule="auto"/>
        <w:ind w:left="0" w:right="0"/>
        <w:jc w:val="left"/>
      </w:pPr>
      <w:r>
        <w:rPr>
          <w:rFonts w:ascii="Arial" w:hAnsi="Arial" w:eastAsia="Arial" w:cs="Arial"/>
          <w:color w:val="000000"/>
          <w:sz w:val="20"/>
          <w:szCs w:val="20"/>
        </w:rPr>
        <w:t xml:space="preserve">(8) Sollte die Generalversammlung – aus welchen Gründen auch
immer – nicht beschlussfähig sein, ist innerhalb von 10 Tagen, vom
Zeitpunkt der ursprünglichen Generalversammlung an gerechnet, eine
Generalversammlung neuerlich einzuberufen, wobei zwischen dem Tag
der Aussendung der Einberufung und dem Tag der Generalversammlung
wiederum eine Frist von zumindest sieben Tagen liegen muss. Die auf
diese Weise vertagte und wieder mittels eingeschriebenen Briefes
einberufene Generalversammlung ist hinsichtlich der
Tagesordnungspunkte der ursprünglichen Generalversammlung
unabhängig von der Höhe des von den Anwesenden vertretenen
Stammkapitals oder der vertretenen Stimmrechte beschlussfähig.
Hierauf ist in der Einladung hinzuweisen.</w:t>
      </w:r>
    </w:p>
    <w:p>
      <w:pPr>
        <w:widowControl w:val="on"/>
        <w:pBdr/>
        <w:spacing w:before="140" w:after="240" w:line="288" w:lineRule="auto"/>
        <w:ind w:left="0" w:right="0"/>
        <w:jc w:val="left"/>
      </w:pPr>
      <w:r>
        <w:rPr>
          <w:rFonts w:ascii="Arial" w:hAnsi="Arial" w:eastAsia="Arial" w:cs="Arial"/>
          <w:color w:val="000000"/>
          <w:sz w:val="20"/>
          <w:szCs w:val="20"/>
        </w:rPr>
        <w:t xml:space="preserve">(9) Jeder Gesellschafter hat das Recht, die Behandlung einer von
ihm angegebenen, in die ursprüngliche Tagesordnung nicht
aufgenommenen Angelegenheiten zu verlangen. Ein solcher Vorschlag
muss den Gesellschaftern spätestens sieben Tage vor Beginn der
Generalversammlung schriftlich bekannt gegeben werden. Über
Angelegenheiten, die in der Einladung nicht angeführt wurden und
von denen die Gesellschafter auch nicht innerhalb der
Dreitagesfrist in Kenntnis gesetzt wurden, dürfen von der
Generalversammlung nur dann Beschlüsse gefasst werden, wenn alle
Gesellschafter an der Generalversammlung teilnehmen und mit der
Beschlussfassung über den auf diese Weise angemeldeten
Tagesordnungspunkt einverstanden sind.</w:t>
      </w:r>
    </w:p>
    <w:p>
      <w:pPr>
        <w:widowControl w:val="on"/>
        <w:pBdr/>
        <w:spacing w:before="140" w:after="240" w:line="288" w:lineRule="auto"/>
        <w:ind w:left="0" w:right="0"/>
        <w:jc w:val="left"/>
      </w:pPr>
      <w:r>
        <w:rPr>
          <w:rFonts w:ascii="Arial" w:hAnsi="Arial" w:eastAsia="Arial" w:cs="Arial"/>
          <w:color w:val="000000"/>
          <w:sz w:val="20"/>
          <w:szCs w:val="20"/>
        </w:rPr>
        <w:t xml:space="preserve">(10) Die Generalversammlung fasst ihre Beschlüsse, falls
gesetzlich bzw in diesem Vertrag nichts anderes vorgeschrieben ist,
mit einer Mehrheit von 75 % (fünfundsiebzig Prozent) des bei
der Generalversammlung vertretenen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(11) Die Vermehrung der den Gesellschaftern nach dem
Gesellschaftsvertrag obliegenden Leistungen oder die Verminderung
von im Gesellschaftsvertrag eingeräumten Rechte kann nur mit
Zustimmung des betroffenen Gesellschafters wirksam beschlossen
werden.</w:t>
      </w:r>
    </w:p>
    <w:p>
      <w:pPr>
        <w:widowControl w:val="on"/>
        <w:pBdr/>
        <w:spacing w:before="140" w:after="240" w:line="288" w:lineRule="auto"/>
        <w:ind w:left="0" w:right="0"/>
        <w:jc w:val="left"/>
      </w:pPr>
      <w:r>
        <w:rPr>
          <w:rFonts w:ascii="Arial" w:hAnsi="Arial" w:eastAsia="Arial" w:cs="Arial"/>
          <w:color w:val="000000"/>
          <w:sz w:val="20"/>
          <w:szCs w:val="20"/>
        </w:rPr>
        <w:t xml:space="preserve">(12) Die Gesellschafter können auch ohne Abhaltung einer
Generalversammlung Beschlüsse auf schriftlichem Wege fassen, wenn
sämtliche Gesellschafter mit dieser Art der Beschlussfassung
schriftlich ihr Einverständnis erklärt haben.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 Jahresabschluss</w:t>
      </w:r>
    </w:p>
    <w:p>
      <w:pPr>
        <w:widowControl w:val="on"/>
        <w:pBdr/>
        <w:spacing w:before="140" w:after="240" w:line="288" w:lineRule="auto"/>
        <w:ind w:left="0" w:right="0"/>
        <w:jc w:val="left"/>
      </w:pPr>
      <w:r>
        <w:rPr>
          <w:rFonts w:ascii="Arial" w:hAnsi="Arial" w:eastAsia="Arial" w:cs="Arial"/>
          <w:color w:val="000000"/>
          <w:sz w:val="20"/>
          <w:szCs w:val="20"/>
        </w:rPr>
        <w:t xml:space="preserve">Der Jahresabschluss ist von der Geschäftsführung innerhalb der
gesetzlichen Frist für das abgelaufene Geschäftsjahr zu
erstellen.</w:t>
      </w:r>
    </w:p>
    <w:p>
      <w:pPr>
        <w:widowControl w:val="on"/>
        <w:pBdr/>
        <w:spacing w:before="140" w:after="240" w:line="288" w:lineRule="auto"/>
        <w:ind w:left="0" w:right="0"/>
        <w:jc w:val="left"/>
      </w:pPr>
      <w:r>
        <w:rPr>
          <w:rFonts w:ascii="Arial" w:hAnsi="Arial" w:eastAsia="Arial" w:cs="Arial"/>
          <w:color w:val="000000"/>
          <w:sz w:val="20"/>
          <w:szCs w:val="20"/>
        </w:rPr>
        <w:t xml:space="preserve">Jedem Gesellschafter ist unverzüglich eine Abschrift des
Jahresabschlusses samt Anhang zuzusenden. Er kann in der gesetzlich
vorgesehenen Frist in die Bücher und Papiere der Gesellschaft
persönlich Einsicht nehmen.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grundsätzlich teilbar und
übertragbar.</w:t>
      </w:r>
    </w:p>
    <w:p>
      <w:pPr>
        <w:widowControl w:val="on"/>
        <w:pBdr/>
        <w:spacing w:before="140" w:after="240" w:line="288" w:lineRule="auto"/>
        <w:ind w:left="0" w:right="0"/>
        <w:jc w:val="left"/>
      </w:pPr>
      <w:r>
        <w:rPr>
          <w:rFonts w:ascii="Arial" w:hAnsi="Arial" w:eastAsia="Arial" w:cs="Arial"/>
          <w:color w:val="000000"/>
          <w:sz w:val="20"/>
          <w:szCs w:val="20"/>
        </w:rPr>
        <w:t xml:space="preserve">(1) Die Abtretung von Geschäftsanteilen oder von Teilen hievon
an Personen, die noch nicht Gesellschafter sind, bedarf der
Zustimmung der Generalversammlung mit einer Mehrheit von 75 %
(fünfundsiebzig Prozent) des eingezahlten Stammkapitals. Darüber
hinaus bedarf auch die Vinkulierung oder Verpfändung von
Geschäftsanteilen, an wen auch immer, der Zustimmung der
Generalversammlung mit einer Mehrheit von 75 % (fünfundsiebzig
Prozent)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(2) Sollte iSd § 77 GmbHG (§ 77 des Gesetzes über
Gesellschaften mit beschränkter Haftung) die gerichtliche
Genehmigung zur Abtretung erteilt worden sein, so steht den übrigen
Gesellschaftern ein Aufgriffsrecht im Verhältnis der Übernahme der
Stammeinlagen zu. Der betroffene Gesellschafter ist im Fall der
Geltendmachung des Aufgriffsrechtes verpflichtet, seinen
Geschäftsanteil bzw Teil hievon an die Übernahmsberechtigten
abzutreten.</w:t>
      </w:r>
    </w:p>
    <w:p>
      <w:pPr>
        <w:widowControl w:val="on"/>
        <w:pBdr/>
        <w:spacing w:before="140" w:after="240" w:line="288" w:lineRule="auto"/>
        <w:ind w:left="0" w:right="0"/>
        <w:jc w:val="left"/>
      </w:pPr>
      <w:r>
        <w:rPr>
          <w:rFonts w:ascii="Arial" w:hAnsi="Arial" w:eastAsia="Arial" w:cs="Arial"/>
          <w:color w:val="000000"/>
          <w:sz w:val="20"/>
          <w:szCs w:val="20"/>
        </w:rPr>
        <w:t xml:space="preserve">(3) Sofern einer der verbleibenden Gesellschafter sein
Aufgriffsrecht nicht selbst ausüben will, geht dieses vorerst
aliquot auf die restlichen verbleibenden Gesellschafter über.</w:t>
      </w:r>
    </w:p>
    <w:p>
      <w:pPr>
        <w:widowControl w:val="on"/>
        <w:pBdr/>
        <w:spacing w:before="140" w:after="240" w:line="288" w:lineRule="auto"/>
        <w:ind w:left="0" w:right="0"/>
        <w:jc w:val="left"/>
      </w:pPr>
      <w:r>
        <w:rPr>
          <w:rFonts w:ascii="Arial" w:hAnsi="Arial" w:eastAsia="Arial" w:cs="Arial"/>
          <w:color w:val="000000"/>
          <w:sz w:val="20"/>
          <w:szCs w:val="20"/>
        </w:rPr>
        <w:t xml:space="preserve">(4) Wenn keiner der Gesellschafter sein Aufgriffsrecht ausübt,
kann einer der Gesellschafter dem abtretungswilligen Gesellschafter
einen Dritten namhaft machen, der bereit ist, den Geschäftsanteil
des abtretungswilligen Gesellschafters zu den Bedingungen des
§ 77 GmbHG zu übernehmen. In diesem Fall ist der
abtretungswillige Gesellschafter verpflichtet, seinen
Geschäftsanteil an den namhaft gemachten Dritten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(1) Die Geschäftsanteile sind grundsätzlich frei vererbbar.</w:t>
      </w:r>
    </w:p>
    <w:p>
      <w:pPr>
        <w:widowControl w:val="on"/>
        <w:pBdr/>
        <w:spacing w:before="140" w:after="240" w:line="288" w:lineRule="auto"/>
        <w:ind w:left="0" w:right="0"/>
        <w:jc w:val="left"/>
      </w:pPr>
      <w:r>
        <w:rPr>
          <w:rFonts w:ascii="Arial" w:hAnsi="Arial" w:eastAsia="Arial" w:cs="Arial"/>
          <w:color w:val="000000"/>
          <w:sz w:val="20"/>
          <w:szCs w:val="20"/>
        </w:rPr>
        <w:t xml:space="preserve">(2) Die Rechtsausübung mehrerer an einem Geschäftsanteil
mitberechtigten Erben gegenüber der Gesellschaft kann jedoch nur
durch einen gemeinsamen Vertreter erfolgen.</w:t>
      </w:r>
    </w:p>
    <w:p>
      <w:pPr>
        <w:widowControl w:val="on"/>
        <w:pBdr/>
        <w:spacing w:before="140" w:after="240" w:line="288" w:lineRule="auto"/>
        <w:ind w:left="0" w:right="0"/>
        <w:jc w:val="left"/>
      </w:pPr>
      <w:r>
        <w:rPr>
          <w:rFonts w:ascii="Arial" w:hAnsi="Arial" w:eastAsia="Arial" w:cs="Arial"/>
          <w:color w:val="000000"/>
          <w:sz w:val="20"/>
          <w:szCs w:val="20"/>
        </w:rPr>
        <w:t xml:space="preserve">(3) Wenn im Todesfall eines Gesellschafters hinsichtlich dessen
Geschäftsanteiles bzw Teiles hievon als Rechtsnachfolger Personen
berufen sind, die nicht bereits Gesellschafter sind, so sind die
übrigen verbliebenen Gesellschafter berechtigt, den Geschäftsanteil
analog zu § 77 GmbHG zu übernehmen. Die Rechtsnachfolger sind
im Fall der Geltendmachung des Übernahmsrechtes verpflichtet, den
anfallenden Geschäftsanteil an die Übernahmsberechtigten
abzutreten.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(1) Bei Exekutionsführung auf einen Geschäftsanteil oder der
Eröffnung des Konkurses über das Vermögen eines Gesellschafters
sind die übrigen Gesellschafter berechtigt, den Geschäftsanteil des
betreffenden Gesellschafters im Verhältnis ihrer übernommenen
Stammeinlagen zu übernehmen, sofern das betreffende
Exekutionsverfahren bzw Konkursverfahren nicht innerhalb längstens
30 (dreißig) Tagen ab Rechtskraft des bezüglich Exekutions- bzw
Eröffnungsbeschlusses wieder eingestellt wird.</w:t>
      </w:r>
    </w:p>
    <w:p>
      <w:pPr>
        <w:widowControl w:val="on"/>
        <w:pBdr/>
        <w:spacing w:before="140" w:after="240" w:line="288" w:lineRule="auto"/>
        <w:ind w:left="0" w:right="0"/>
        <w:jc w:val="left"/>
      </w:pPr>
      <w:r>
        <w:rPr>
          <w:rFonts w:ascii="Arial" w:hAnsi="Arial" w:eastAsia="Arial" w:cs="Arial"/>
          <w:color w:val="000000"/>
          <w:sz w:val="20"/>
          <w:szCs w:val="20"/>
        </w:rPr>
        <w:t xml:space="preserve">(2) Im Sinne des Pkt XI Abs 5 können die übrigen
Gesellschafter für die Übernahme des Geschäftsanteiles auch einen
Dritten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steht das Recht zu, die Gesellschaft
unter Einhaltung einer Kündigungsfrist von 6 (sechs)
Kalendermonaten zum Ende eines Geschäftsjahres aufzukündigen. Die
Kündigungsfrist ist eingehalten, wenn das Kündigungsschreiben
spätestens am letzten Tag vor Beginn der 6-monatigen Frist
eingeschrieben an die Gesellschafter und an die Gesellschaft zur
Post gegeben wird.</w:t>
      </w:r>
    </w:p>
    <w:p>
      <w:pPr>
        <w:widowControl w:val="on"/>
        <w:pBdr/>
        <w:spacing w:before="140" w:after="240" w:line="288" w:lineRule="auto"/>
        <w:ind w:left="0" w:right="0"/>
        <w:jc w:val="left"/>
      </w:pPr>
      <w:r>
        <w:rPr>
          <w:rFonts w:ascii="Arial" w:hAnsi="Arial" w:eastAsia="Arial" w:cs="Arial"/>
          <w:color w:val="000000"/>
          <w:sz w:val="20"/>
          <w:szCs w:val="20"/>
        </w:rPr>
        <w:t xml:space="preserve">(2) Eine erstmalige Kündigung ist zum 31. Dezember 2027 oder –
wenn das Wirtschaftsjahr geändert wurde – zu jenem Bilanzstichtag
möglich, der in das Kalenderjahr 2027 fällt.</w:t>
      </w:r>
    </w:p>
    <w:p>
      <w:pPr>
        <w:widowControl w:val="on"/>
        <w:pBdr/>
        <w:spacing w:before="140" w:after="240" w:line="288" w:lineRule="auto"/>
        <w:ind w:left="0" w:right="0"/>
        <w:jc w:val="left"/>
      </w:pPr>
      <w:r>
        <w:rPr>
          <w:rFonts w:ascii="Arial" w:hAnsi="Arial" w:eastAsia="Arial" w:cs="Arial"/>
          <w:color w:val="000000"/>
          <w:sz w:val="20"/>
          <w:szCs w:val="20"/>
        </w:rPr>
        <w:t xml:space="preserve">(3) Die Kündigung eines Gesellschafters hat nicht die Auflösung
der Gesellschaft zur Folge, wenn allenfalls die übrigen
Gesellschafter den Geschäftsanteil des kündigenden Gesellschafters,
im Verhältnis ihrer Stammeinlagen, übernehmen oder einen Dritten
als Übernehmer namhaft machen.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(1) Das den Gesellschaftern im Sinne der vorstehenden
Bestimmungen eingeräumte Aufgriffsrecht ist innerhalb von längstens
dreißig (30) Tagen nach dem Zeitpunkt, zu dem das Aufgriffsrecht
entstanden ist, mittels eingeschriebenen Briefes auszuüben.</w:t>
      </w:r>
    </w:p>
    <w:p>
      <w:pPr>
        <w:widowControl w:val="on"/>
        <w:pBdr/>
        <w:spacing w:before="140" w:after="240" w:line="288" w:lineRule="auto"/>
        <w:ind w:left="0" w:right="0"/>
        <w:jc w:val="left"/>
      </w:pPr>
      <w:r>
        <w:rPr>
          <w:rFonts w:ascii="Arial" w:hAnsi="Arial" w:eastAsia="Arial" w:cs="Arial"/>
          <w:color w:val="000000"/>
          <w:sz w:val="20"/>
          <w:szCs w:val="20"/>
        </w:rPr>
        <w:t xml:space="preserve">(2) Sollte von einem Gesellschafter das Aufgriffsrecht nicht
ausgeübt werden und wird von Gesellschaftern kein Dritter zur
Übernahme des Geschäftsanteiles namhaft gemacht, so hat dies
nachstehende Folgen:</w:t>
      </w:r>
    </w:p>
    <w:tbl>
      <w:tblPr>
        <w:tblStyle w:val="NormalTablePHPDOCX"/>
        <w:tblW w:w="5000" w:type="pct"/>
        <w:tblInd w:w="0" w:type="auto"/>
        <w:tblBorders>
          <w:top w:val="nil" w:color="363A40" w:sz="0"/>
          <w:left w:val="nil" w:color="363A40" w:sz="0"/>
          <w:bottom w:val="nil" w:color="363A40" w:sz="0"/>
          <w:right w:val="nil" w:color="363A40" w:sz="0"/>
        </w:tblBorders>
      </w:tblPr>
      <w:tblGrid>
        <w:gridCol w:w="1"/>
        <w:gridCol w:w="1"/>
      </w:tblGrid>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2.1</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Abtretung: dass der abtretungswillige Gesellschafter
frei veräußern kann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2.2</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des Konkurses, Ausgleichs oder der Exekution: dass die
betreffenden Verfahren weitergeführt werden</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2.3</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Kündigung: die Auflösung der Gesellschaft</w:t>
            </w:r>
          </w:p>
        </w:tc>
      </w:tr>
      <w:tr>
        <w:trPr>
          <w:trHeight w:val="0" w:hRule="atLeast"/>
        </w:trPr>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2.4</w:t>
            </w:r>
          </w:p>
        </w:tc>
        <w:tc>
          <w:tcPr>
            <w:tcW w:w="0" w:type="auto"/>
            <w:shd w:val="clear" w:color="auto" w:fill="FFFFFF"/>
            <w:tcMar>
              <w:top w:w="156" w:type="dxa"/>
              <w:left w:w="0" w:type="auto"/>
              <w:bottom w:w="78" w:type="dxa"/>
              <w:right w:w="120" w:type="dxa"/>
            </w:tcMar>
            <w:vAlign w:val="top"/>
          </w:tcPr>
          <w:p>
            <w:pPr>
              <w:widowControl w:val="on"/>
              <w:pBdr/>
              <w:shd w:val="clear" w:color="auto" w:fill="FFFFFF"/>
              <w:spacing w:before="0" w:after="0" w:line="288" w:lineRule="auto"/>
              <w:ind w:left="0" w:right="0"/>
              <w:jc w:val="left"/>
              <w:textAlignment w:val="top"/>
            </w:pPr>
            <w:r>
              <w:rPr>
                <w:rFonts w:ascii="Arial" w:hAnsi="Arial" w:eastAsia="Arial" w:cs="Arial"/>
                <w:color w:val="000000"/>
                <w:position w:val="0"/>
                <w:sz w:val="20"/>
                <w:szCs w:val="20"/>
                <w:shd w:val="clear" w:color="auto" w:fill="FFFFFF"/>
              </w:rPr>
              <w:t xml:space="preserve">Im Fall der Erbfolge: dass die Erben frei veräußern können</w:t>
            </w:r>
          </w:p>
        </w:tc>
      </w:tr>
    </w:tbl>
    <w:p>
      <w:pPr>
        <w:widowControl w:val="on"/>
        <w:pBdr/>
        <w:spacing w:before="400" w:after="60" w:line="346" w:lineRule="auto"/>
        <w:ind w:left="0" w:right="0"/>
        <w:jc w:val="center"/>
        <w:outlineLvl w:val="1"/>
      </w:pPr>
      <w:r>
        <w:rPr>
          <w:rFonts w:ascii="Arial" w:hAnsi="Arial" w:eastAsia="Arial" w:cs="Arial"/>
          <w:color w:val="363A40"/>
          <w:sz w:val="28"/>
          <w:szCs w:val="28"/>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(1) Jedem Gesellschafter ist es untersagt, unmittelbar oder
mittelbar auf dem Geschäftsgebiet der Autohaus Huber GmbH oder
einer Gesellschaft, an der diese als Komplementärin und ihre
Gesellschafter als Kommanditisten beteiligt sind, Geschäfte zu
tätigen oder diesen Gesellschaften in anderer Weise Konkurrenz zu
machen.</w:t>
      </w:r>
    </w:p>
    <w:p>
      <w:pPr>
        <w:widowControl w:val="on"/>
        <w:pBdr/>
        <w:spacing w:before="140" w:after="240" w:line="288" w:lineRule="auto"/>
        <w:ind w:left="0" w:right="0"/>
        <w:jc w:val="left"/>
      </w:pPr>
      <w:r>
        <w:rPr>
          <w:rFonts w:ascii="Arial" w:hAnsi="Arial" w:eastAsia="Arial" w:cs="Arial"/>
          <w:color w:val="000000"/>
          <w:sz w:val="20"/>
          <w:szCs w:val="20"/>
        </w:rPr>
        <w:t xml:space="preserve">(2) Das Wettbewerbsverbot gilt auch nach dem Ausscheiden eines
Gesellschafters für die Dauer von einem Jahr.</w:t>
      </w:r>
    </w:p>
    <w:p>
      <w:pPr>
        <w:widowControl w:val="on"/>
        <w:pBdr/>
        <w:spacing w:before="140" w:after="240" w:line="288" w:lineRule="auto"/>
        <w:ind w:left="0" w:right="0"/>
        <w:jc w:val="left"/>
      </w:pPr>
      <w:r>
        <w:rPr>
          <w:rFonts w:ascii="Arial" w:hAnsi="Arial" w:eastAsia="Arial" w:cs="Arial"/>
          <w:color w:val="000000"/>
          <w:sz w:val="20"/>
          <w:szCs w:val="20"/>
        </w:rPr>
        <w:t xml:space="preserve">(3) Eine Befreiung vom Wettbewerbsverbot kann nur durch einen
einstimmigen Beschluss der Gesellschafter vereinbart werden.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 Ermittlung des
Übernahmspreises</w:t>
      </w:r>
    </w:p>
    <w:p>
      <w:pPr>
        <w:widowControl w:val="on"/>
        <w:pBdr/>
        <w:spacing w:before="140" w:after="240" w:line="288" w:lineRule="auto"/>
        <w:ind w:left="0" w:right="0"/>
        <w:jc w:val="left"/>
      </w:pPr>
      <w:r>
        <w:rPr>
          <w:rFonts w:ascii="Arial" w:hAnsi="Arial" w:eastAsia="Arial" w:cs="Arial"/>
          <w:color w:val="000000"/>
          <w:sz w:val="20"/>
          <w:szCs w:val="20"/>
        </w:rPr>
        <w:t xml:space="preserve">(1) Sofern das Gesetz für den Exekutions- oder Insolvenzfall
nicht zwingend etwas anderes zwischen dem abgebenden Gesellschafter
und dem übernehmenden Gesellschafter bestimmt, ist der
Übernahmspreis bei Ausübung der vertraglichen Aufgriffsrechte –
sofern zwischen den Gesellschaftern binnen 30 (dreißig) Tagen keine
Einigung über den Kaufpreis zustande kommt – wie folgt zu
ermitteln:</w:t>
      </w:r>
    </w:p>
    <w:p>
      <w:pPr>
        <w:widowControl w:val="on"/>
        <w:pBdr/>
        <w:spacing w:before="140" w:after="240" w:line="288" w:lineRule="auto"/>
        <w:ind w:left="0" w:right="0"/>
        <w:jc w:val="left"/>
      </w:pPr>
      <w:r>
        <w:rPr>
          <w:rFonts w:ascii="Arial" w:hAnsi="Arial" w:eastAsia="Arial" w:cs="Arial"/>
          <w:color w:val="000000"/>
          <w:sz w:val="20"/>
          <w:szCs w:val="20"/>
        </w:rPr>
        <w:t xml:space="preserve">Dem abtretenden Gesellschafter gebührt der Betrag der
tatsächlich einbezahlten Stammeinlage zum Zeitpunkt der Ausübung
des Aufgriffsrechtes zuzüglich einer kontokorrentmäßigen Verzinsung
von 6 % (sechs Prozent), beginnend mit dem Tag der Eintragung
der Gesellschaft im Firmenbuch.</w:t>
      </w:r>
    </w:p>
    <w:p>
      <w:pPr>
        <w:widowControl w:val="on"/>
        <w:pBdr/>
        <w:spacing w:before="140" w:after="240" w:line="288" w:lineRule="auto"/>
        <w:ind w:left="0" w:right="0"/>
        <w:jc w:val="left"/>
      </w:pPr>
      <w:r>
        <w:rPr>
          <w:rFonts w:ascii="Arial" w:hAnsi="Arial" w:eastAsia="Arial" w:cs="Arial"/>
          <w:color w:val="000000"/>
          <w:sz w:val="20"/>
          <w:szCs w:val="20"/>
        </w:rPr>
        <w:t xml:space="preserve">(2) Der Kaufpreis ist – sofern die an der Abtretung des
Geschäftsanteiles beteiligten Parteien nicht etwas anderes
vereinbaren – binnen 6 (sechs) Monaten nach Ausscheiden des
Gesellschafters zur Zahlung fällig.</w:t>
      </w:r>
    </w:p>
    <w:p>
      <w:pPr>
        <w:widowControl w:val="on"/>
        <w:pBdr/>
        <w:spacing w:before="140" w:after="240" w:line="288" w:lineRule="auto"/>
        <w:ind w:left="0" w:right="0"/>
        <w:jc w:val="left"/>
      </w:pPr>
      <w:r>
        <w:rPr>
          <w:rFonts w:ascii="Arial" w:hAnsi="Arial" w:eastAsia="Arial" w:cs="Arial"/>
          <w:color w:val="000000"/>
          <w:sz w:val="20"/>
          <w:szCs w:val="20"/>
        </w:rPr>
        <w:t xml:space="preserve">(3) Soweit der Geschäftsanteil nicht von Gesellschaftern
übernommen wird, kann ihn der abgebende Gesellschafter an Dritte
weitergeben. Dieses Rechtsgeschäft darf jedoch nicht zu günstigeren
Bedingungen für den Erwerber – ausgenommen im Erbfall gemäß
Pkt XII. des Vertrages – erfolgen.</w:t>
      </w:r>
    </w:p>
    <w:p>
      <w:pPr>
        <w:widowControl w:val="on"/>
        <w:pBdr/>
        <w:spacing w:before="140" w:after="240" w:line="288" w:lineRule="auto"/>
        <w:ind w:left="0" w:right="0"/>
        <w:jc w:val="left"/>
      </w:pPr>
      <w:r>
        <w:rPr>
          <w:rFonts w:ascii="Arial" w:hAnsi="Arial" w:eastAsia="Arial" w:cs="Arial"/>
          <w:color w:val="000000"/>
          <w:sz w:val="20"/>
          <w:szCs w:val="20"/>
        </w:rPr>
        <w:t xml:space="preserve">(4) Die Bestimmungen der Abs 1 bis 3 sind sinngemäß auf
alle anderen Fälle des Ausscheidens eines Gesellschafters
anzuwenden.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Über die Verwendung eines allfälligen Reingewinnes und über eine
Ausschüttung hat entweder die Generalversammlung oder die
Gesellschafter mit Umlaufbeschluss zu entscheiden.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(1) Für alle Streitigkeiten aus diesem Gesellschaftsvertrag
zwischen der Gesellschaft und den Gesellschaftern sowie zwischen
den Gesellschaftern untereinander ist – soweit die Zuweisung an ein
Schiedsgericht zulässig ist – ein nach den Bestimmungen der
§§ 577 ff Zivilprozessordnung (ZPO) errichtetes Schiedsgericht
zuständig. Dies gilt auch für Streitigkeiten nach dem Ausscheiden
von Gesellschaftern und bei Streitigkeiten über das Bestehen oder
Nichtbestehen des Gesellschaftsvertrages.</w:t>
      </w:r>
    </w:p>
    <w:p>
      <w:pPr>
        <w:widowControl w:val="on"/>
        <w:pBdr/>
        <w:spacing w:before="140" w:after="240" w:line="288" w:lineRule="auto"/>
        <w:ind w:left="0" w:right="0"/>
        <w:jc w:val="left"/>
      </w:pPr>
      <w:r>
        <w:rPr>
          <w:rFonts w:ascii="Arial" w:hAnsi="Arial" w:eastAsia="Arial" w:cs="Arial"/>
          <w:color w:val="000000"/>
          <w:sz w:val="20"/>
          <w:szCs w:val="20"/>
        </w:rPr>
        <w:t xml:space="preserve">(2) Jede der Streitparteien hat einen Schiedsrichter zu
benennen, welcher dem Berufsstande der Rechtsanwälte,
Wirtschaftstreuhänder, Unternehmensberater oder Notare angehören
muss.</w:t>
      </w:r>
    </w:p>
    <w:p>
      <w:pPr>
        <w:widowControl w:val="on"/>
        <w:pBdr/>
        <w:spacing w:before="140" w:after="240" w:line="288" w:lineRule="auto"/>
        <w:ind w:left="0" w:right="0"/>
        <w:jc w:val="left"/>
      </w:pPr>
      <w:r>
        <w:rPr>
          <w:rFonts w:ascii="Arial" w:hAnsi="Arial" w:eastAsia="Arial" w:cs="Arial"/>
          <w:color w:val="000000"/>
          <w:sz w:val="20"/>
          <w:szCs w:val="20"/>
        </w:rPr>
        <w:t xml:space="preserve">(3) Die beiden durch die Parteien bestellten Schiedsrichter
haben sich auf einen Obmann zu einigen, der Rechtsanwalt sein muss.
Kommt eine Einigung nicht zustande, ist der Präsident der
Rechtsanwaltskammer für Tirol um die Obmannbenennung zu ersuchen,
welche endgültig ist.</w:t>
      </w:r>
    </w:p>
    <w:p>
      <w:pPr>
        <w:widowControl w:val="on"/>
        <w:pBdr/>
        <w:spacing w:before="140" w:after="240" w:line="288" w:lineRule="auto"/>
        <w:ind w:left="0" w:right="0"/>
        <w:jc w:val="left"/>
      </w:pPr>
      <w:r>
        <w:rPr>
          <w:rFonts w:ascii="Arial" w:hAnsi="Arial" w:eastAsia="Arial" w:cs="Arial"/>
          <w:color w:val="000000"/>
          <w:sz w:val="20"/>
          <w:szCs w:val="20"/>
        </w:rPr>
        <w:t xml:space="preserve">(4) Das Schiedsgericht entscheidet abschließend.</w:t>
      </w:r>
    </w:p>
    <w:p>
      <w:pPr>
        <w:widowControl w:val="on"/>
        <w:pBdr/>
        <w:spacing w:before="140" w:after="240" w:line="288" w:lineRule="auto"/>
        <w:ind w:left="0" w:right="0"/>
        <w:jc w:val="left"/>
      </w:pPr>
      <w:r>
        <w:rPr>
          <w:rFonts w:ascii="Arial" w:hAnsi="Arial" w:eastAsia="Arial" w:cs="Arial"/>
          <w:color w:val="000000"/>
          <w:sz w:val="20"/>
          <w:szCs w:val="20"/>
        </w:rPr>
        <w:t xml:space="preserve">(5) Tagungsort des Schiedsgerichtes ist der Sitz der
Gesellschaft.</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 Gründungskosten</w:t>
      </w:r>
    </w:p>
    <w:p>
      <w:pPr>
        <w:widowControl w:val="on"/>
        <w:pBdr/>
        <w:spacing w:before="140" w:after="240" w:line="288" w:lineRule="auto"/>
        <w:ind w:left="0" w:right="0"/>
        <w:jc w:val="left"/>
      </w:pPr>
      <w:r>
        <w:rPr>
          <w:rFonts w:ascii="Arial" w:hAnsi="Arial" w:eastAsia="Arial" w:cs="Arial"/>
          <w:color w:val="000000"/>
          <w:sz w:val="20"/>
          <w:szCs w:val="20"/>
        </w:rPr>
        <w:t xml:space="preserve">Die mit der Errichtung und Registrierung der Gesellschaft
verbundenen Kosten (Stempelmarken, Abgaben und sonstigen Gebühren)
werden bis zu einem Höchstbetrag von EUR 4.000,– von der
Gesellschaft getragen und sind mit der Höhe des tatsächlichen
Aufwandes in der ersten Gewinn- und Verlustrechnung des
Jahresabschlusses als Ausgabe einzustellen.</w:t>
      </w:r>
    </w:p>
    <w:p>
      <w:pPr>
        <w:widowControl w:val="on"/>
        <w:pBdr/>
        <w:spacing w:before="400" w:after="60" w:line="346" w:lineRule="auto"/>
        <w:ind w:left="0" w:right="0"/>
        <w:jc w:val="center"/>
        <w:outlineLvl w:val="1"/>
      </w:pPr>
      <w:r>
        <w:rPr>
          <w:rFonts w:ascii="Arial" w:hAnsi="Arial" w:eastAsia="Arial" w:cs="Arial"/>
          <w:color w:val="363A40"/>
          <w:sz w:val="28"/>
          <w:szCs w:val="28"/>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Die Bekanntmachungen der Gesellschaft erfolgen durch
eingeschriebene Briefe an die Gesellschafter unter der bei der
Eintragung in das Firmenbuch zuletzt bekannt gegebenen
Anschrift.</w:t>
      </w:r>
    </w:p>
    <w:p>
      <w:pPr>
        <w:widowControl w:val="on"/>
        <w:pBdr/>
        <w:spacing w:before="140" w:after="240" w:line="288" w:lineRule="auto"/>
        <w:ind w:left="0" w:right="0"/>
        <w:jc w:val="left"/>
      </w:pPr>
      <w:r>
        <w:rPr>
          <w:rFonts w:ascii="Arial" w:hAnsi="Arial" w:eastAsia="Arial" w:cs="Arial"/>
          <w:color w:val="000000"/>
          <w:sz w:val="20"/>
          <w:szCs w:val="20"/>
        </w:rPr>
        <w:t xml:space="preserve">…, am …</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Annette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Katja Auer</w:t>
      </w:r>
    </w:p>
    <w:p>
      <w:pPr>
        <w:widowControl w:val="on"/>
        <w:pBdr/>
        <w:spacing w:before="140" w:after="240" w:line="288" w:lineRule="auto"/>
        <w:ind w:left="0" w:right="0"/>
        <w:jc w:val="left"/>
      </w:pPr>
      <w:r>
        <w:rPr>
          <w:rFonts w:ascii="Arial" w:hAnsi="Arial" w:eastAsia="Arial" w:cs="Arial"/>
          <w:color w:val="000000"/>
          <w:sz w:val="20"/>
          <w:szCs w:val="20"/>
        </w:rPr>
        <w:t xml:space="preserve">…</w:t>
      </w:r>
      <w:r>
        <w:rPr>
          <w:rFonts w:ascii="Arial" w:hAnsi="Arial" w:eastAsia="Arial" w:cs="Arial"/>
          <w:color w:val="000000"/>
          <w:sz w:val="20"/>
          <w:szCs w:val="20"/>
        </w:rPr>
        <w:br/>
        <w:t xml:space="preserve">Barbara Luxbach</w:t>
      </w:r>
    </w:p>
    <w:p>
      <w:pPr>
        <w:widowControl w:val="on"/>
        <w:pBdr/>
        <w:spacing w:before="400" w:after="60" w:line="346" w:lineRule="auto"/>
        <w:ind w:left="0" w:right="0"/>
        <w:jc w:val="left"/>
        <w:outlineLvl w:val="1"/>
      </w:pPr>
      <w:r>
        <w:rPr>
          <w:rFonts w:ascii="Arial" w:hAnsi="Arial" w:eastAsia="Arial" w:cs="Arial"/>
          <w:color w:val="363A40"/>
          <w:sz w:val="28"/>
          <w:szCs w:val="28"/>
        </w:rPr>
        <w:t xml:space="preserve">Anmerkungen: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 Firma und Sitz</w:t>
      </w:r>
    </w:p>
    <w:p>
      <w:pPr>
        <w:widowControl w:val="on"/>
        <w:pBdr/>
        <w:spacing w:before="140" w:after="240" w:line="288" w:lineRule="auto"/>
        <w:ind w:left="0" w:right="0"/>
        <w:jc w:val="left"/>
      </w:pPr>
      <w:r>
        <w:rPr>
          <w:rFonts w:ascii="Arial" w:hAnsi="Arial" w:eastAsia="Arial" w:cs="Arial"/>
          <w:color w:val="000000"/>
          <w:sz w:val="20"/>
          <w:szCs w:val="20"/>
        </w:rPr>
        <w:t xml:space="preserve">Die Firma muss gem § 18 UGB zur Kennzeichnung des
Unternehmers geeignet sein und Unterscheidungskraft besitzen. Die
Firma darf keine Angaben enthalten, die geeignet sind, über
geschäftliche Verhältnisse, die für die angesprochenen
Verkehrskreise wesentlich sind, irrezuführen.</w:t>
      </w:r>
    </w:p>
    <w:p>
      <w:pPr>
        <w:widowControl w:val="on"/>
        <w:pBdr/>
        <w:spacing w:before="140" w:after="240" w:line="288" w:lineRule="auto"/>
        <w:ind w:left="0" w:right="0"/>
        <w:jc w:val="left"/>
      </w:pPr>
      <w:r>
        <w:rPr>
          <w:rFonts w:ascii="Arial" w:hAnsi="Arial" w:eastAsia="Arial" w:cs="Arial"/>
          <w:color w:val="000000"/>
          <w:sz w:val="20"/>
          <w:szCs w:val="20"/>
        </w:rPr>
        <w:t xml:space="preserve">Unter Kennzeichnungseignung wird die Eignung zur namentlichen
Kennzeichnung eines Unternehmers (Namensfunktion) verstanden. Die
Sachfirma kann den Gegenstand des Unternehmens enthalten; reine
Gattungsbezeichnungen oder Branchenangaben sind mangels
Individualisierungswirkung unzulässig. Es ist erforderlich, dass
das Unternehmen eine individuelle Bezeichnung führt, die sich von
der Gattungsbezeichnung des Gewerbezweiges unterscheidet, um es
hinreichend zu kennzeichnen (RIS-Justiz RS0122494).</w:t>
      </w:r>
    </w:p>
    <w:p>
      <w:pPr>
        <w:widowControl w:val="on"/>
        <w:pBdr/>
        <w:spacing w:before="140" w:after="240" w:line="288" w:lineRule="auto"/>
        <w:ind w:left="0" w:right="0"/>
        <w:jc w:val="left"/>
      </w:pPr>
      <w:r>
        <w:rPr>
          <w:rFonts w:ascii="Arial" w:hAnsi="Arial" w:eastAsia="Arial" w:cs="Arial"/>
          <w:color w:val="000000"/>
          <w:sz w:val="20"/>
          <w:szCs w:val="20"/>
        </w:rPr>
        <w:t xml:space="preserve">Unterscheidungskraft bedeutet, dass die Firma geeignet ist, bei
Lesern und Hörern die Assoziation mit einem ganz bestimmten
Unternehmen unter vielen anderen zu wecken. Sie geht nicht mehr so
weit, dass auch die konkrete Identität eines Unternehmensträgers
aus der Firma abgeleitet sein muss; die Individualisierungseignung
muss vielmehr nur generell und abstrakt gegeben sein. Erst wenn die
abstrakte Individualisierungsfunktion bejaht werden kann, stellt
sich überhaupt die Frage, ob eine Firma konkret mit einer gleichen
oder ähnlichen Firma verwechselt werden und deshalb unzulässig sein
könnte (RIS-Justiz RS0122544).</w:t>
      </w:r>
    </w:p>
    <w:p>
      <w:pPr>
        <w:widowControl w:val="on"/>
        <w:pBdr/>
        <w:spacing w:before="140" w:after="240" w:line="288" w:lineRule="auto"/>
        <w:ind w:left="0" w:right="0"/>
        <w:jc w:val="left"/>
      </w:pPr>
      <w:r>
        <w:rPr>
          <w:rFonts w:ascii="Arial" w:hAnsi="Arial" w:eastAsia="Arial" w:cs="Arial"/>
          <w:color w:val="000000"/>
          <w:sz w:val="20"/>
          <w:szCs w:val="20"/>
        </w:rPr>
        <w:t xml:space="preserve">Es besteht kein Anspruch auf eine bestimmte Schreibweise im
Firmenbuch, etwa auf bestimmte Schriftzüge (RIS-Justiz
RS0122546).</w:t>
      </w:r>
    </w:p>
    <w:p>
      <w:pPr>
        <w:widowControl w:val="on"/>
        <w:pBdr/>
        <w:spacing w:before="140" w:after="240" w:line="288" w:lineRule="auto"/>
        <w:ind w:left="0" w:right="0"/>
        <w:jc w:val="left"/>
      </w:pPr>
      <w:r>
        <w:rPr>
          <w:rFonts w:ascii="Arial" w:hAnsi="Arial" w:eastAsia="Arial" w:cs="Arial"/>
          <w:color w:val="000000"/>
          <w:sz w:val="20"/>
          <w:szCs w:val="20"/>
        </w:rPr>
        <w:t xml:space="preserve">Sitz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Beim Sitz muss es sich um eine politische Gemeinde (zB Wien,
Salzburg, Neusiedl am See, etc) handeln. Davon zu unterscheiden ist
die Geschäftsanschrift, die neben der politischen Gemeinde auch die
Straße und Hausnummer (allenfalls Türnummer) enthält und die nicht
im Gesellschaftsvertrag aufscheint, sondern nur im Firmenbuch.</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III. Gegenstand des Unternehmens</w:t>
      </w:r>
    </w:p>
    <w:p>
      <w:pPr>
        <w:widowControl w:val="on"/>
        <w:pBdr/>
        <w:spacing w:before="140" w:after="240" w:line="288" w:lineRule="auto"/>
        <w:ind w:left="0" w:right="0"/>
        <w:jc w:val="left"/>
      </w:pPr>
      <w:r>
        <w:rPr>
          <w:rFonts w:ascii="Arial" w:hAnsi="Arial" w:eastAsia="Arial" w:cs="Arial"/>
          <w:color w:val="000000"/>
          <w:sz w:val="20"/>
          <w:szCs w:val="20"/>
        </w:rPr>
        <w:t xml:space="preserve">Der Unternehmensgegenstand beschreibt Bereich und Art der
Tätigkeit, mit der die GmbH ihren Zweck verfolgt. Als
Unternehmensgegenstand kommt jeder gesetzlich zulässige Zweck in
Betracht.</w:t>
      </w:r>
    </w:p>
    <w:p>
      <w:pPr>
        <w:widowControl w:val="on"/>
        <w:pBdr/>
        <w:spacing w:before="140" w:after="240" w:line="288" w:lineRule="auto"/>
        <w:ind w:left="0" w:right="0"/>
        <w:jc w:val="left"/>
      </w:pPr>
      <w:r>
        <w:rPr>
          <w:rFonts w:ascii="Arial" w:hAnsi="Arial" w:eastAsia="Arial" w:cs="Arial"/>
          <w:color w:val="000000"/>
          <w:sz w:val="20"/>
          <w:szCs w:val="20"/>
        </w:rPr>
        <w:t xml:space="preserve">Es ist zu prüfen, ob es sich bei den Tätigkeiten um freie oder
reglementierte Gewerbe handelt (zB § 94 Z 43 GewO bzgl
dem Betrieb einer Kraftfahrzeug-Werkstätte) und welche
Voraussetzungen für die Ausübung zu erfüllen sind.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IV. Stammkapital und Stammeinlagen</w:t>
      </w:r>
    </w:p>
    <w:p>
      <w:pPr>
        <w:widowControl w:val="on"/>
        <w:pBdr/>
        <w:spacing w:before="140" w:after="240" w:line="288" w:lineRule="auto"/>
        <w:ind w:left="0" w:right="0"/>
        <w:jc w:val="left"/>
      </w:pPr>
      <w:r>
        <w:rPr>
          <w:rFonts w:ascii="Arial" w:hAnsi="Arial" w:eastAsia="Arial" w:cs="Arial"/>
          <w:color w:val="000000"/>
          <w:sz w:val="20"/>
          <w:szCs w:val="20"/>
        </w:rPr>
        <w:t xml:space="preserve">Durch das Gesellschaftsrechts-Änderungsgesetz 2023 (GesRÄG 2023)
sollte das Stammkapital respektive das Bareinzahlungserfordernis
drastisch reduziert werden, um Gesellschaftsgründungen leichter zu
gestalten und das Ausweichen österreichischer Gesellschaftsgründer
auf ausländische Gesellschaftsformen wie etwa die britische
„limited“ überflüssig zu machen.</w:t>
      </w:r>
    </w:p>
    <w:p>
      <w:pPr>
        <w:widowControl w:val="on"/>
        <w:pBdr/>
        <w:spacing w:before="140" w:after="240" w:line="288" w:lineRule="auto"/>
        <w:ind w:left="0" w:right="0"/>
        <w:jc w:val="left"/>
      </w:pPr>
      <w:r>
        <w:rPr>
          <w:rFonts w:ascii="Arial" w:hAnsi="Arial" w:eastAsia="Arial" w:cs="Arial"/>
          <w:color w:val="000000"/>
          <w:sz w:val="20"/>
          <w:szCs w:val="20"/>
        </w:rPr>
        <w:t xml:space="preserve">Mit 01.01.2024 traten die neuen Regelungen nach dem GesRÄG 2023
in Kraft:</w:t>
      </w:r>
    </w:p>
    <w:p>
      <w:pPr>
        <w:numPr>
          <w:ilvl w:val="0"/>
          <w:numId w:val="461531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Die Höhe des Mindest-Stammkapitals einer GmbH beträgt
EUR 10.000,– (vgl § 6 Abs 1 zweiter Satz idF
BGBl I Nr 179/2023 GmbHG).</w:t>
      </w:r>
    </w:p>
    <w:p>
      <w:pPr>
        <w:numPr>
          <w:ilvl w:val="0"/>
          <w:numId w:val="461531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Der vor der Anmeldung der Gesellschaft zum Firmenbuch
einzuzahlende Barbetrag beläuft sich – wenn keine
Ausnahmebestimmungen greifen – auf mindestens EUR 5.000,– (vgl
§ 10 Abs 1 zweiter Satz idF BGBl I Nr 179/2023
GmbHG).</w:t>
      </w:r>
    </w:p>
    <w:p>
      <w:pPr>
        <w:numPr>
          <w:ilvl w:val="0"/>
          <w:numId w:val="461531817"/>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Im Fall einer Kapitalherabsetzung kann das Stammkapital nicht
auf weniger als EUR 10.000,– reduziert werden (vgl § 54
Abs 3 idF BGBl I Nr 179/2023 GmbHG).</w:t>
      </w:r>
    </w:p>
    <w:p>
      <w:pPr>
        <w:widowControl w:val="on"/>
        <w:pBdr/>
        <w:spacing w:before="140" w:after="240" w:line="288" w:lineRule="auto"/>
        <w:ind w:left="0" w:right="0"/>
        <w:jc w:val="left"/>
      </w:pPr>
      <w:r>
        <w:rPr>
          <w:rFonts w:ascii="Arial" w:hAnsi="Arial" w:eastAsia="Arial" w:cs="Arial"/>
          <w:color w:val="000000"/>
          <w:sz w:val="20"/>
          <w:szCs w:val="20"/>
        </w:rPr>
        <w:t xml:space="preserve">Durch das GesRÄG 2023 wurde demnach ganz allgemein – für neu zu
gründende, aber auch für bereits bestehende Gesellschaften – das
gesetzliche Mindest-Stammkapital mit nur EUR 10.000,–
festgesetzt, sodass</w:t>
      </w:r>
    </w:p>
    <w:p>
      <w:pPr>
        <w:numPr>
          <w:ilvl w:val="0"/>
          <w:numId w:val="1016987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Gesellschaften mit einem Stammkapital von nicht mehr als
EUR 10.000,– gegründet und</w:t>
      </w:r>
    </w:p>
    <w:p>
      <w:pPr>
        <w:numPr>
          <w:ilvl w:val="0"/>
          <w:numId w:val="101698750"/>
        </w:numPr>
        <w:spacing w:before="0" w:after="0" w:line="288" w:lineRule="auto"/>
        <w:jc w:val="left"/>
        <w:rPr>
          <w:rFonts w:ascii="Arial" w:hAnsi="Arial" w:eastAsia="Arial" w:cs="Arial"/>
          <w:color w:val="000000"/>
          <w:sz w:val="20"/>
          <w:szCs w:val="20"/>
        </w:rPr>
      </w:pPr>
      <w:r>
        <w:rPr>
          <w:rFonts w:ascii="Arial" w:hAnsi="Arial" w:eastAsia="Arial" w:cs="Arial"/>
          <w:color w:val="000000"/>
          <w:sz w:val="20"/>
          <w:szCs w:val="20"/>
        </w:rPr>
        <w:t xml:space="preserve">bei bereits bestehenden Gesellschaften mit einem Stammkapital
von EUR 35.000,– oder darüber das Stammkapital bis auf
EUR 10.000,– herabgesetzt</w:t>
      </w:r>
    </w:p>
    <w:p>
      <w:pPr>
        <w:widowControl w:val="on"/>
        <w:pBdr/>
        <w:spacing w:before="140" w:after="240" w:line="288" w:lineRule="auto"/>
        <w:ind w:left="0" w:right="0"/>
        <w:jc w:val="left"/>
      </w:pPr>
      <w:r>
        <w:rPr>
          <w:rFonts w:ascii="Arial" w:hAnsi="Arial" w:eastAsia="Arial" w:cs="Arial"/>
          <w:color w:val="000000"/>
          <w:sz w:val="20"/>
          <w:szCs w:val="20"/>
        </w:rPr>
        <w:t xml:space="preserve">werden konnten (276/ME XXVII. GP, 15).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 Geschäftsführung</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und die Abberufung eines Geschäftsführers einer
GmbH sowie die weiteren diesbezüglichen Voraussetzungen sind in
§§ 15 ff GmbHG geregelt.</w:t>
      </w:r>
    </w:p>
    <w:p>
      <w:pPr>
        <w:widowControl w:val="on"/>
        <w:pBdr/>
        <w:spacing w:before="140" w:after="240" w:line="288" w:lineRule="auto"/>
        <w:ind w:left="0" w:right="0"/>
        <w:jc w:val="left"/>
      </w:pPr>
      <w:r>
        <w:rPr>
          <w:rFonts w:ascii="Arial" w:hAnsi="Arial" w:eastAsia="Arial" w:cs="Arial"/>
          <w:color w:val="000000"/>
          <w:sz w:val="20"/>
          <w:szCs w:val="20"/>
        </w:rPr>
        <w:t xml:space="preserve">Die Bestellung, aber auch die Abberufung des Geschäftsführers
einer Gesellschaft mit beschränkter Haftung ist eine rein
gesellschaftsinterne organisatorische Maßnahme, die für sich
genommen auf die Vermögensverhältnisse der Gesellschaft keinen
Einfluss nimmt (RIS-Justiz RS0059891).</w:t>
      </w:r>
    </w:p>
    <w:p>
      <w:pPr>
        <w:widowControl w:val="on"/>
        <w:pBdr/>
        <w:spacing w:before="140" w:after="240" w:line="288" w:lineRule="auto"/>
        <w:ind w:left="0" w:right="0"/>
        <w:jc w:val="left"/>
      </w:pPr>
      <w:r>
        <w:rPr>
          <w:rFonts w:ascii="Arial" w:hAnsi="Arial" w:eastAsia="Arial" w:cs="Arial"/>
          <w:color w:val="000000"/>
          <w:sz w:val="20"/>
          <w:szCs w:val="20"/>
        </w:rPr>
        <w:t xml:space="preserve">Der „faktische Geschäftsführer“ wird zumeist als Person
definiert, die das Unternehmen leitet, ohne wirksam zum
Geschäftsführer bestellt worden zu sein. Dies ist häufig dann der
Fall, wenn die eigentlich bestellten Geschäftsführer als
Strohmänner ihre Organfunktionen nicht ausüben und stattdessen ein
anderer (meist ein Mehrheitsgesellschafter) die Gesellschaft
tatsächlich leitet, wobei zumeist auch ein nach außen erkennbares
Gerieren wie ein Geschäftsführer erfolgt (RIS-Justiz
RS0126308).</w:t>
      </w:r>
    </w:p>
    <w:p>
      <w:pPr>
        <w:widowControl w:val="on"/>
        <w:pBdr/>
        <w:spacing w:before="140" w:after="240" w:line="288" w:lineRule="auto"/>
        <w:ind w:left="0" w:right="0"/>
        <w:jc w:val="left"/>
      </w:pPr>
      <w:r>
        <w:rPr>
          <w:rFonts w:ascii="Arial" w:hAnsi="Arial" w:eastAsia="Arial" w:cs="Arial"/>
          <w:color w:val="000000"/>
          <w:sz w:val="20"/>
          <w:szCs w:val="20"/>
        </w:rPr>
        <w:t xml:space="preserve">Zu den Pflichten des Geschäftsführers einer Gesellschaft mit
beschränkter Haftung gehört es, das Unternehmen unter Beachtung
aller maßgebenden Rechtsvorschriften zu leiten, sich stets ein
genaues Bild von der Lage des Unternehmens, insbesondere von seiner
Liquidität, zu verschaffen und alle Maßnahmen zu treffen, die
geeignet sind, eine Schädigung dritter Personen, insbesondere durch
Eingehung neuer Verbindlichkeiten nach Eintritt der
Zahlungsfähigkeit, hintanzuhalten. Zu diesem Zweck hat der
Geschäftsführer unter Umständen Weisungen an
Handlungsbevollmächtigte zu erteilen, sich den Abschluss von
Rechtsgeschäften vorzubehalten oder erteilte Handlungsvollmacht zu
widerrufen bzw einzuschränken (RIS-Justiz RS0059774).</w:t>
      </w:r>
    </w:p>
    <w:p>
      <w:pPr>
        <w:widowControl w:val="on"/>
        <w:pBdr/>
        <w:spacing w:before="140" w:after="240" w:line="288" w:lineRule="auto"/>
        <w:ind w:left="0" w:right="0"/>
        <w:jc w:val="left"/>
      </w:pPr>
      <w:r>
        <w:rPr>
          <w:rFonts w:ascii="Arial" w:hAnsi="Arial" w:eastAsia="Arial" w:cs="Arial"/>
          <w:color w:val="000000"/>
          <w:sz w:val="20"/>
          <w:szCs w:val="20"/>
        </w:rPr>
        <w:t xml:space="preserve">Die GmbH, die sich eines Geschäftsführers bedient, der zwar die
sonst für die Ausübung des Gewerbes vorgeschriebenen persönlichen
Voraussetzungen mitbringt, sich aber nicht entsprechend im Betrieb
betätigt, weil ihn die Gesellschaft vertraglich von dieser
Tätigkeit befreit hat oder die von ihm übernommenen Leistungen nur
auf schriftliches Verlangen in Anspruch nehmen wollte, verstößt
gegen § 39 Abs 3 GewO. Die begeht eine
Verwaltungsübertretung nach § 367 Z 6 GewO und ist mit
Strafen zu belegen. Der Zweck dieser gewerberechtlichen
Bestimmungen ist erkennbar darauf gerichtet, durch die Pflicht der
ein Gewerbe ausübenden juristischen Person zur Bestellung eines
Geschäftsführers (oder Pächters), der für die für Gewerbeausübung
vorgeschriebenen persönlichen Voraussetzungen erfüllt und sich im
Betrieb entsprechend betätigt, sicherzustellen, dass eine zur
redlichen fachkundigen Ausübung des Gewerbes geeignete und dafür
verantwortliche Person vorhanden ist. Der Schutzzweck der
Gewerbeordnung ist nicht die Bewahrung der juristischen Person vor
den Auswirkungen derartiger Vereinbarungen, sondern Besteller vor
den nachteiligen Folgen des Fehlers eines sich entsprechend im
Betrieb betätigenden gewerblichen Geschäftsführer (RIS-Justiz
RS0016760).</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 Vertretung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Die Vertretung der Gesellschaft und die Abgabe von
Willenserklärungen sind Kernelemente der Unternehmensorganisation
einer GmbH. Gem § 18 Abs 1 GmbHG erfolgt die
Geschäftsführung und Vertretung grundsätzlich durch die
Geschäftsführer, wobei der Gesellschaftsvertrag nähere Bestimmungen
vorsehen kann. In diesem Fall wurde eine Einzelvertretung
vereinbart, sofern die Gesellschaft nur durch einen Geschäftsführer
vertreten wird und eine differenzierte Ausgestaltung bei mehreren
Geschäftsführern, die durch Bestellungsbeschluss bei Bestellung
eines weiteren Geschäftsführers konkretisiert würde.</w:t>
      </w:r>
    </w:p>
    <w:p>
      <w:pPr>
        <w:widowControl w:val="on"/>
        <w:pBdr/>
        <w:spacing w:before="140" w:after="240" w:line="288" w:lineRule="auto"/>
        <w:ind w:left="0" w:right="0"/>
        <w:jc w:val="left"/>
      </w:pPr>
      <w:r>
        <w:rPr>
          <w:rFonts w:ascii="Arial" w:hAnsi="Arial" w:eastAsia="Arial" w:cs="Arial"/>
          <w:color w:val="000000"/>
          <w:sz w:val="20"/>
          <w:szCs w:val="20"/>
        </w:rPr>
        <w:t xml:space="preserve">Die Differenzierung zwischen gewöhnlichen und außergewöhnlichen
Geschäften knüpft an § 20 Abs 1 GmbHG, wonach die
ordentliche Geschäftsführung (dh laufende Angelegenheiten, die im
Rahmen des Unternehmenszwecks liegen) normalerweise dem
Geschäftsführer ohne gesonderte Zustimmung obliegt.
Außergewöhnliche Geschäfte hingegen, etwa größere Investitionen,
Immobilienankäufe, Kreditaufnahmen etc, bedürfen gemäß Vertrag
einer qualifizierten Zustimmung der Generalversammlung (75 %
Mehrheit des eingezahlten Stammkapitals).</w:t>
      </w:r>
    </w:p>
    <w:p>
      <w:pPr>
        <w:widowControl w:val="on"/>
        <w:pBdr/>
        <w:spacing w:before="140" w:after="240" w:line="288" w:lineRule="auto"/>
        <w:ind w:left="0" w:right="0"/>
        <w:jc w:val="left"/>
      </w:pPr>
      <w:r>
        <w:rPr>
          <w:rFonts w:ascii="Arial" w:hAnsi="Arial" w:eastAsia="Arial" w:cs="Arial"/>
          <w:color w:val="000000"/>
          <w:sz w:val="20"/>
          <w:szCs w:val="20"/>
        </w:rPr>
        <w:t xml:space="preserve">§ 20 GmbHG sieht die Möglichkeit einer Beschränkung der
Geschäftsführerbefugnisse vor, von welcher hier Gebrauch gemacht
wurde, indem zwischen gewöhnlichen und außergewöhnlichen Geschäften
unterschieden wird, wobei es für den Abschluss außergewöhnlicher
Geschäfte der Zustimmung der Generalversammlung mit einer Mehrheit
von 75 % bedarf.</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VIII. Prokuristen</w:t>
      </w:r>
    </w:p>
    <w:p>
      <w:pPr>
        <w:widowControl w:val="on"/>
        <w:pBdr/>
        <w:spacing w:before="140" w:after="240" w:line="288" w:lineRule="auto"/>
        <w:ind w:left="0" w:right="0"/>
        <w:jc w:val="left"/>
      </w:pPr>
      <w:r>
        <w:rPr>
          <w:rFonts w:ascii="Arial" w:hAnsi="Arial" w:eastAsia="Arial" w:cs="Arial"/>
          <w:color w:val="000000"/>
          <w:sz w:val="20"/>
          <w:szCs w:val="20"/>
        </w:rPr>
        <w:t xml:space="preserve">Die Prokura ist eine umfassende handelsrechtliche
Vertretungsmacht (§ 49 Abs 1 UGB), die zu allen Arten von
gerichtlichen und außergerichtlichen Geschäften und
Rechtshandlungen ermächtigt, die der Betrieb eines Unternehmens mit
sich bringt. Die Bestellung bzw Abberufung eines Prokuristen ist
dem Vertretungsorgan der Gesellschaft vorbehalten.</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IX. Generalversammlung</w:t>
      </w:r>
    </w:p>
    <w:p>
      <w:pPr>
        <w:widowControl w:val="on"/>
        <w:pBdr/>
        <w:spacing w:before="140" w:after="240" w:line="288" w:lineRule="auto"/>
        <w:ind w:left="0" w:right="0"/>
        <w:jc w:val="left"/>
      </w:pPr>
      <w:r>
        <w:rPr>
          <w:rFonts w:ascii="Arial" w:hAnsi="Arial" w:eastAsia="Arial" w:cs="Arial"/>
          <w:color w:val="000000"/>
          <w:sz w:val="20"/>
          <w:szCs w:val="20"/>
        </w:rPr>
        <w:t xml:space="preserve">Hybride Gesellschafterversammlung nach dem Virtuelle
Gesellschafterversammlungen-Gesetz (VirtGesG):</w:t>
      </w:r>
    </w:p>
    <w:p>
      <w:pPr>
        <w:widowControl w:val="on"/>
        <w:pBdr/>
        <w:spacing w:before="140" w:after="240" w:line="288" w:lineRule="auto"/>
        <w:ind w:left="0" w:right="0"/>
        <w:jc w:val="left"/>
      </w:pPr>
      <w:r>
        <w:rPr>
          <w:rFonts w:ascii="Arial" w:hAnsi="Arial" w:eastAsia="Arial" w:cs="Arial"/>
          <w:color w:val="000000"/>
          <w:sz w:val="20"/>
          <w:szCs w:val="20"/>
        </w:rPr>
        <w:t xml:space="preserve">Damit in Zeiten der COVID-19-Pandemie Versammlungen von
Gesellschaftern oder Organmitgliedern auch ohne physische
Anwesenheit der Teilnehmer durchgeführt und Beschlüsse auch auf
andere Weise gefasst werden können, wurde mit § 1
COVID-19-GesG eine zeitlich befristete gesetzliche Grundlage für
„virtuelle Versammlungen“ geschaffen. Die Durchführung von
Gesellschafterversammlungen unter Einsatz technischer
Kommunikationsmittel, insbesondere über eine Videokonferenz, hat
sich in der Praxis bewährt, weshalb danach eine dauerhafte
gesetzliche Grundlage für virtuelle sowie hybride Versammlungen
geschaffen wurde.</w:t>
      </w:r>
    </w:p>
    <w:p>
      <w:pPr>
        <w:widowControl w:val="on"/>
        <w:pBdr/>
        <w:spacing w:before="140" w:after="240" w:line="288" w:lineRule="auto"/>
        <w:ind w:left="0" w:right="0"/>
        <w:jc w:val="left"/>
      </w:pPr>
      <w:r>
        <w:rPr>
          <w:rFonts w:ascii="Arial" w:hAnsi="Arial" w:eastAsia="Arial" w:cs="Arial"/>
          <w:color w:val="000000"/>
          <w:sz w:val="20"/>
          <w:szCs w:val="20"/>
        </w:rPr>
        <w:t xml:space="preserve">Im Unterschied zur Pandemiesituation sollen solche
Gesellschaftersammlungen jedoch nur zulässig sein, wenn dies in
Satzung bzw im Gesellschaftsvertrag vorgesehen ist (271/ME XXVII.
GP).</w:t>
      </w:r>
    </w:p>
    <w:p>
      <w:pPr>
        <w:widowControl w:val="on"/>
        <w:pBdr/>
        <w:spacing w:before="140" w:after="240" w:line="288" w:lineRule="auto"/>
        <w:ind w:left="0" w:right="0"/>
        <w:jc w:val="left"/>
      </w:pPr>
      <w:r>
        <w:rPr>
          <w:rFonts w:ascii="Arial" w:hAnsi="Arial" w:eastAsia="Arial" w:cs="Arial"/>
          <w:color w:val="000000"/>
          <w:sz w:val="20"/>
          <w:szCs w:val="20"/>
        </w:rPr>
        <w:t xml:space="preserve">Eine virtuelle Versammlung ist als einfache virtuelle
Versammlung iSd § 2 VirtGesG durchzuführen. Hat die
Versammlung einen Leiter, so kann im Gesellschaftsvertrag auch
vorgesehen werden, dass stets eine moderierte virtuelle Versammlung
iSd § 3 VirtGesG durchzuführen ist oder dass die Entscheidung,
ob eine einfache oder eine moderierte virtuelle Versammlung
durchgeführt wird, dem einberufenden Organ überlassen wird.</w:t>
      </w:r>
    </w:p>
    <w:p>
      <w:pPr>
        <w:widowControl w:val="on"/>
        <w:pBdr/>
        <w:spacing w:before="140" w:after="240" w:line="288" w:lineRule="auto"/>
        <w:ind w:left="0" w:right="0"/>
        <w:jc w:val="left"/>
      </w:pPr>
      <w:r>
        <w:rPr>
          <w:rFonts w:ascii="Arial" w:hAnsi="Arial" w:eastAsia="Arial" w:cs="Arial"/>
          <w:color w:val="000000"/>
          <w:sz w:val="20"/>
          <w:szCs w:val="20"/>
        </w:rPr>
        <w:t xml:space="preserve">Im Gesellschaftsvertrag kann auch vorgesehen werden, dass stets
eine Versammlung durchzuführen ist, bei der sich die einzelnen
Teilnehmer zwischen einer physischen und einer virtuellen Teilnahme
entscheiden können („hybride Versammlung“) oder dass die
Entscheidung, ob eine hybride Versammlung durchgeführt wird, dem
einberufenden Organ überlassen wird.</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 Verfügung über Geschäftsanteile</w:t>
      </w:r>
    </w:p>
    <w:p>
      <w:pPr>
        <w:widowControl w:val="on"/>
        <w:pBdr/>
        <w:spacing w:before="140" w:after="240" w:line="288" w:lineRule="auto"/>
        <w:ind w:left="0" w:right="0"/>
        <w:jc w:val="left"/>
      </w:pPr>
      <w:r>
        <w:rPr>
          <w:rFonts w:ascii="Arial" w:hAnsi="Arial" w:eastAsia="Arial" w:cs="Arial"/>
          <w:color w:val="000000"/>
          <w:sz w:val="20"/>
          <w:szCs w:val="20"/>
        </w:rPr>
        <w:t xml:space="preserve">Nach § 76 Abs 1 GmbHG sind Geschäftsanteile
grundsätzlich frei übertragbar, allerdings kann im
Gesellschaftsvertrag die Übertragung von der Zustimmung der
Gesellschaft abhängig gemacht werden (sog Vinkulierung). Dieser
Zustimmungsvorbehalt dient dem Schutz der bestehenden
Gesellschafterstruktur und der Wahrung gesellschaftsinterner
Interessen, indem es den Einfluss Außenstehender begrenzt.</w:t>
      </w:r>
    </w:p>
    <w:p>
      <w:pPr>
        <w:widowControl w:val="on"/>
        <w:pBdr/>
        <w:spacing w:before="140" w:after="240" w:line="288" w:lineRule="auto"/>
        <w:ind w:left="0" w:right="0"/>
        <w:jc w:val="left"/>
      </w:pPr>
      <w:r>
        <w:rPr>
          <w:rFonts w:ascii="Arial" w:hAnsi="Arial" w:eastAsia="Arial" w:cs="Arial"/>
          <w:color w:val="000000"/>
          <w:sz w:val="20"/>
          <w:szCs w:val="20"/>
        </w:rPr>
        <w:t xml:space="preserve">Die konkludente Genehmigung der Abtretung vinkulierter
Geschäftsanteile ist zulässig (so schon 3 Ob 601/90 = ecolex 1991,
394). Für die Zustimmung der Generalversammlung zu den
Abtretungsverträgen genügt einfache Mehrheit, wenn nichts anderes
im Gesellschaftsvertrag der Beklagten bestimmt ist. Bei Einigkeit
aller Gesellschafter sind jedoch weder eine
Gesellschafterversammlung noch ein schriftliches Beschlussverfahren
erforderlich (OGH 16.09.2025, 6 Ob 135/24g).</w:t>
      </w:r>
    </w:p>
    <w:p>
      <w:pPr>
        <w:widowControl w:val="on"/>
        <w:pBdr/>
        <w:spacing w:before="140" w:after="240" w:line="288" w:lineRule="auto"/>
        <w:ind w:left="0" w:right="0"/>
        <w:jc w:val="left"/>
      </w:pPr>
      <w:r>
        <w:rPr>
          <w:rFonts w:ascii="Arial" w:hAnsi="Arial" w:eastAsia="Arial" w:cs="Arial"/>
          <w:color w:val="000000"/>
          <w:sz w:val="20"/>
          <w:szCs w:val="20"/>
        </w:rPr>
        <w:t xml:space="preserve">Stimmen sämtliche Gesellschafter einer konkreten Teilabtretung
eines Geschäftsanteils zu oder wirken daran mit, führt das Fehlen
einer Teilabtretungen gestattenden Bestimmung im
Gesellschaftsvertrag nicht zur Unwirksamkeit dieser Teilabtretung
(OGH 06.11.2024, 6 Ob 224/23v).</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 Erbfolge</w:t>
      </w:r>
    </w:p>
    <w:p>
      <w:pPr>
        <w:widowControl w:val="on"/>
        <w:pBdr/>
        <w:spacing w:before="140" w:after="240" w:line="288" w:lineRule="auto"/>
        <w:ind w:left="0" w:right="0"/>
        <w:jc w:val="left"/>
      </w:pPr>
      <w:r>
        <w:rPr>
          <w:rFonts w:ascii="Arial" w:hAnsi="Arial" w:eastAsia="Arial" w:cs="Arial"/>
          <w:color w:val="000000"/>
          <w:sz w:val="20"/>
          <w:szCs w:val="20"/>
        </w:rPr>
        <w:t xml:space="preserve">Die Geschäftsanteile sind gem § 76 GmbHG übertragbar und
vererblich. Im Gesellschaftsvertrag kann die Übertragung von
weiteren Voraussetzungen abhängig gemacht werden. Sowohl die
Übertragung von Geschäftsanteilen durch Rechtsgeschäft unter
Lebenden als auch Vereinbarungen, die die Verpflichtung eines
Gesellschafters zur künftigen Abtretung eines Geschäftsanteils
begründen, bedürfen eines Notariatsakts.</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XIII. Exekution und Konkurs</w:t>
      </w:r>
    </w:p>
    <w:p>
      <w:pPr>
        <w:widowControl w:val="on"/>
        <w:pBdr/>
        <w:spacing w:before="140" w:after="240" w:line="288" w:lineRule="auto"/>
        <w:ind w:left="0" w:right="0"/>
        <w:jc w:val="left"/>
      </w:pPr>
      <w:r>
        <w:rPr>
          <w:rFonts w:ascii="Arial" w:hAnsi="Arial" w:eastAsia="Arial" w:cs="Arial"/>
          <w:color w:val="000000"/>
          <w:sz w:val="20"/>
          <w:szCs w:val="20"/>
        </w:rPr>
        <w:t xml:space="preserve">Unter dem Gesichtspunkt des Gläubigerschutzes müssen
freiwilliges Ausscheiden und Ableben eines Gesellschafters
einerseits sowie Exekution und Insolvenz andererseits als Fälle des
Aufgriffsrechts gleich behandelt werden. Eine
Abfindungsbeschränkung unter den Verkehrswert (Schätzwert) des
Geschäftsanteils bei Exekution und Insolvenz des Gesellschafters
ist darüber hinaus nur zulässig, wenn sie nicht nur in diesen
Fällen greift, sondern eine entsprechende Reduktion des
Abfindungsanspruchs für jede Konstellation des freiwilligen (insb
der Anteilsübertragung) und des unfreiwilligen Ausscheidens des
Gesellschafters vereinbart wird (OGH 16.09.2020, 6 Ob 64/20k).</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XIV. Kündigung der Gesellschaft</w:t>
      </w:r>
    </w:p>
    <w:p>
      <w:pPr>
        <w:widowControl w:val="on"/>
        <w:pBdr/>
        <w:spacing w:before="140" w:after="240" w:line="288" w:lineRule="auto"/>
        <w:ind w:left="0" w:right="0"/>
        <w:jc w:val="left"/>
      </w:pPr>
      <w:r>
        <w:rPr>
          <w:rFonts w:ascii="Arial" w:hAnsi="Arial" w:eastAsia="Arial" w:cs="Arial"/>
          <w:color w:val="000000"/>
          <w:sz w:val="20"/>
          <w:szCs w:val="20"/>
        </w:rPr>
        <w:t xml:space="preserve">§ 132 UGB iVm § 161 UGB sieht ein Kündigungsrecht der
Gesellschafter vor, wenn die Gesellschaft für unbestimmte Zeit
eingegangen ist, wie in diesem Fall geregelt.</w:t>
      </w:r>
    </w:p>
    <w:p>
      <w:pPr>
        <w:widowControl w:val="on"/>
        <w:pBdr/>
        <w:spacing w:before="140" w:after="240" w:line="288" w:lineRule="auto"/>
        <w:ind w:left="0" w:right="0"/>
        <w:jc w:val="left"/>
      </w:pPr>
      <w:r>
        <w:rPr>
          <w:rFonts w:ascii="Arial" w:hAnsi="Arial" w:eastAsia="Arial" w:cs="Arial"/>
          <w:color w:val="000000"/>
          <w:sz w:val="20"/>
          <w:szCs w:val="20"/>
        </w:rPr>
        <w:t xml:space="preserve">Die Abfindungsregelung ist grundsätzlich nach § 137 iVm
§ 161 UGB zulässig.</w:t>
      </w:r>
    </w:p>
    <w:p>
      <w:pPr>
        <w:widowControl w:val="on"/>
        <w:pBdr/>
        <w:spacing w:before="140" w:after="240" w:line="288" w:lineRule="auto"/>
        <w:ind w:left="0" w:right="0"/>
        <w:jc w:val="left"/>
      </w:pPr>
      <w:r>
        <w:rPr>
          <w:rFonts w:ascii="Arial" w:hAnsi="Arial" w:eastAsia="Arial" w:cs="Arial"/>
          <w:color w:val="000000"/>
          <w:sz w:val="20"/>
          <w:szCs w:val="20"/>
        </w:rPr>
        <w:t xml:space="preserve">Da eine Kündigung nicht die Auflösung der Gesellschaft bewirken
muss, kann zB ein Aufgriffsrecht der verbleibenden Gesellschafter
vorgesehen sein; unzulässig hingegen ist der Ausschluss eines
Gesellschafters, da § 66 GmbHG den einzigen Fall des
zwangsweisen Ausschlusses des Gesellschafters unter gleichzeitigem
Verlust aller Rechte aus dem Geschäftsanteil (für den Fall der
Säumigkeit bei der Einzahlung der Stammeinlage) festlegt, in allen
anderen Fällen aber eine solche einer Enteignung des
Gesellschafters gleichkommende Zwangsmaßnahme unzulässig ist
(</w:t>
      </w:r>
      <w:r>
        <w:rPr>
          <w:rFonts w:ascii="Arial" w:hAnsi="Arial" w:eastAsia="Arial" w:cs="Arial"/>
          <w:i/>
          <w:iCs/>
          <w:color w:val="000000"/>
          <w:sz w:val="20"/>
          <w:szCs w:val="20"/>
        </w:rPr>
        <w:t xml:space="preserve">Gellis</w:t>
      </w:r>
      <w:r>
        <w:rPr>
          <w:rFonts w:ascii="Arial" w:hAnsi="Arial" w:eastAsia="Arial" w:cs="Arial"/>
          <w:color w:val="000000"/>
          <w:sz w:val="20"/>
          <w:szCs w:val="20"/>
        </w:rPr>
        <w:t xml:space="preserve">, Kommentar zum GmbHG 223, 248, EvBl 1958/322)
(RIS-Justiz RS0059745).</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 Durchführung des Aufgriffsrechtes</w:t>
      </w:r>
    </w:p>
    <w:p>
      <w:pPr>
        <w:widowControl w:val="on"/>
        <w:pBdr/>
        <w:spacing w:before="140" w:after="240" w:line="288" w:lineRule="auto"/>
        <w:ind w:left="0" w:right="0"/>
        <w:jc w:val="left"/>
      </w:pPr>
      <w:r>
        <w:rPr>
          <w:rFonts w:ascii="Arial" w:hAnsi="Arial" w:eastAsia="Arial" w:cs="Arial"/>
          <w:color w:val="000000"/>
          <w:sz w:val="20"/>
          <w:szCs w:val="20"/>
        </w:rPr>
        <w:t xml:space="preserve">Bei der Gesellschaft mit beschränkter Haftung ist es – anders
als bei Personengesellschaften des Handelsrechts – nicht möglich zu
vereinbaren, dass der Anteil eines Gesellschafters dem anderen ohne
weiteres zuwächst (RIS-Justiz RS0124080).</w:t>
      </w:r>
    </w:p>
    <w:p>
      <w:pPr>
        <w:widowControl w:val="on"/>
        <w:pBdr/>
        <w:spacing w:before="140" w:after="240" w:line="288" w:lineRule="auto"/>
        <w:ind w:left="0" w:right="0"/>
        <w:jc w:val="left"/>
      </w:pPr>
      <w:r>
        <w:rPr>
          <w:rFonts w:ascii="Arial" w:hAnsi="Arial" w:eastAsia="Arial" w:cs="Arial"/>
          <w:color w:val="000000"/>
          <w:sz w:val="20"/>
          <w:szCs w:val="20"/>
        </w:rPr>
        <w:t xml:space="preserve">In der Entscheidung 6 Ob 198/20s hat der erkennende Senat
ausgesprochen, dass dann, wenn nach dem Gesellschaftsvertrag ein
bestimmter Sachverhalt erst die Pflicht zur Stellung eines
Abtretungsangebots auslöst, der Gesellschaftsvertrag gerade kein
unmittelbares Aufgriffsrecht in dem Sinn ermöglicht, dass ein
Gesellschafter durch einseitige Erklärung einen Geschäftsanteil
erwerben könnte, also eine „zweistufige“ Konstruktion (vgl 6 Ob
63/20b) vorliegt, in der sowohl für das Angebot als auch für dessen
Annahme jeweils ein Notariatsakt erforderlich ist. In diesem
Zusammenhang bekräftigte der Oberste Gerichtshof auch die
Auffassung, dass gerade unter dem Aspekt der Rechtssicherheit ein
gesellschaftsvertraglich angeordneter ipso iure-Übergang eines
Geschäftsanteils unzulässig ist (6 Ob 198/20s; so schon 6 Ob
150/08i; </w:t>
      </w:r>
      <w:r>
        <w:rPr>
          <w:rFonts w:ascii="Arial" w:hAnsi="Arial" w:eastAsia="Arial" w:cs="Arial"/>
          <w:i/>
          <w:iCs/>
          <w:color w:val="000000"/>
          <w:sz w:val="20"/>
          <w:szCs w:val="20"/>
        </w:rPr>
        <w:t xml:space="preserve">Rauter</w:t>
      </w:r>
      <w:r>
        <w:rPr>
          <w:rFonts w:ascii="Arial" w:hAnsi="Arial" w:eastAsia="Arial" w:cs="Arial"/>
          <w:color w:val="000000"/>
          <w:sz w:val="20"/>
          <w:szCs w:val="20"/>
        </w:rPr>
        <w:t xml:space="preserve"> in WK-GmbHG § 76 Rz 130 mwN)
(OGH 17.12.2020, 6 Ob 240/20t).</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 Wettbewerbsverbot</w:t>
      </w:r>
    </w:p>
    <w:p>
      <w:pPr>
        <w:widowControl w:val="on"/>
        <w:pBdr/>
        <w:spacing w:before="140" w:after="240" w:line="288" w:lineRule="auto"/>
        <w:ind w:left="0" w:right="0"/>
        <w:jc w:val="left"/>
      </w:pPr>
      <w:r>
        <w:rPr>
          <w:rFonts w:ascii="Arial" w:hAnsi="Arial" w:eastAsia="Arial" w:cs="Arial"/>
          <w:color w:val="000000"/>
          <w:sz w:val="20"/>
          <w:szCs w:val="20"/>
        </w:rPr>
        <w:t xml:space="preserve">Der Oberste Gerichtshof hielt unter Hinweis auf die bisherige
Judikatur und die überwiegende Lehre fest, dass einen
ausgeschiedenen Gesellschafter mangels ausdrücklicher Vereinbarung
die Verpflichtung des § 112 UGB nicht mehr trifft. Diesem
Verbot liegt das für Personengesellschaften wesentliche
Vertrauensverhältnis ihrer Mitglieder zugrunde. Nach dem Ausschluss
eines Gesellschafters kann das erschütterte Vertrauen die
Aufrechterhaltung des Wettbewerbsverbots gegenüber einem ehemaligen
Gesellschafter aber nicht mehr rechtfertigen. Verstößt ein
Gesellschafter gegen das Wettbewerbsverbot, hat die Gesellschaft ua
die Möglichkeit, gegen den Gesellschafter mit Ausschließungsklage
vorgehen. Mangels fortdauernder Treuepflicht eines ehemaligen
Gesellschafters nimmt die Gesellschaft durch die Einbringung einer
Ausschlussklage in Kauf, dass sie gegen den ehemaligen
Gesellschafter für die Zeit nach seinem rechtskräftigen Ausschluss
keine auf die Verletzung des Wettbewerbsverbots gestützten
Ansprüche geltend machen kann. Soll die Gesellschaft vor Wettbewerb
auch nach dem Ausscheiden eines Gesellschafters geschützt werden,
ist das über eine entsprechende vertragliche Vereinbarung möglich.
Darüber hinaus bietet das Lauterkeitsrecht der Gesellschaft
ausreichenden Schutz vor einem unlauteren Wettbewerb (OGH
11.08.2015, 4 Ob 71/15t).</w:t>
      </w:r>
    </w:p>
    <w:p>
      <w:pPr>
        <w:widowControl w:val="on"/>
        <w:pBdr/>
        <w:spacing w:before="140" w:after="240" w:line="288" w:lineRule="auto"/>
        <w:ind w:left="0" w:right="0"/>
        <w:jc w:val="left"/>
      </w:pPr>
      <w:r>
        <w:rPr>
          <w:rFonts w:ascii="Arial" w:hAnsi="Arial" w:eastAsia="Arial" w:cs="Arial"/>
          <w:color w:val="000000"/>
          <w:sz w:val="20"/>
          <w:szCs w:val="20"/>
        </w:rPr>
        <w:t xml:space="preserve">Die Regelung des Wettbewerbsverbotes ist in jeder Richtung der
freien Gestaltung unter den Gesellschaftern überlassen. Es steht
ihnen frei, Vertragsstrafen zu vereinbaren, aber auch, dass solche
nicht von der Gesellschaft, sondern von einem Gesellschafter im
eigenen Namen verlangt werden können (RIS-Justiz RS0061731).</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XVIII. Gewinnverwendung</w:t>
      </w:r>
    </w:p>
    <w:p>
      <w:pPr>
        <w:widowControl w:val="on"/>
        <w:pBdr/>
        <w:spacing w:before="140" w:after="240" w:line="288" w:lineRule="auto"/>
        <w:ind w:left="0" w:right="0"/>
        <w:jc w:val="left"/>
      </w:pPr>
      <w:r>
        <w:rPr>
          <w:rFonts w:ascii="Arial" w:hAnsi="Arial" w:eastAsia="Arial" w:cs="Arial"/>
          <w:color w:val="000000"/>
          <w:sz w:val="20"/>
          <w:szCs w:val="20"/>
        </w:rPr>
        <w:t xml:space="preserve">Kommt bei der Generalversammlung einer GmbH ein Beschluss über
die Verteilung des Reingewinnes mangels einer absoluten
Stimmenmehrheit nicht zustande und ist im Gesellschaftsvertrag die
Gewinnverteilung nicht der Beschlussfassung der Gesellschafter
vorbehalten, so kann jeder Gesellschafter den auf ihn entfallenden
Anteil am Reingewinn auch dann zur Gänze einklagen, wenn er sich in
der Generalversammlung für die Bildung einer Rücklage ausgesprochen
hat (RIS-Justiz RS0060047).</w:t>
      </w:r>
    </w:p>
    <w:p>
      <w:pPr>
        <w:widowControl w:val="on"/>
        <w:pBdr/>
        <w:spacing w:before="140" w:after="240" w:line="288" w:lineRule="auto"/>
        <w:ind w:left="0" w:right="0"/>
        <w:jc w:val="left"/>
      </w:pPr>
      <w:r>
        <w:rPr>
          <w:rFonts w:ascii="Arial" w:hAnsi="Arial" w:eastAsia="Arial" w:cs="Arial"/>
          <w:color w:val="000000"/>
          <w:sz w:val="20"/>
          <w:szCs w:val="20"/>
        </w:rPr>
        <w:t xml:space="preserve">Wenn der Vorstand von seinem Recht auf Rücklagenbildung nicht
Gebrauch macht und einen Gewinnvortrag und den Jahresgewinn in den
Bilanzgewinn einstellt, ist nach Feststellung des Jahresabschlusses
bindend festgelegt, dass der Bilanzgewinn an die Aktionäre zu
verteilen ist. Die Hauptversammlung darf ohne satzungsmäßige
Grundlage den Bilanzgewinn weder ganz noch teilweise von der
Verteilung ausschließen, auch nicht im Wege eines Gewinnvortrags
auf neue Rechnung (RIS-Justiz RS0122186).</w:t>
      </w:r>
    </w:p>
    <w:p>
      <w:pPr>
        <w:widowControl w:val="on"/>
        <w:pBdr/>
        <w:spacing w:before="140" w:after="240" w:line="288" w:lineRule="auto"/>
        <w:ind w:left="0" w:right="0"/>
        <w:jc w:val="left"/>
      </w:pPr>
      <w:r>
        <w:rPr>
          <w:rFonts w:ascii="Arial" w:hAnsi="Arial" w:eastAsia="Arial" w:cs="Arial"/>
          <w:color w:val="000000"/>
          <w:sz w:val="20"/>
          <w:szCs w:val="20"/>
        </w:rPr>
        <w:t xml:space="preserve">Der Grundsatz der Gleichbehandlung der Gesellschafter ist zwar
im Gesetz nicht ausdrücklich ausgesprochen, verlangt aber, dass in
gleicher Rechtsposition befindliche Gesellschafter gleich behandelt
werden, dh Anspruch auf gleiche Rechte und Pflichten haben, doch
ist darin keineswegs das Gebot einer schematischen Gleichbehandlung
aller Gesellschafter, sondern das Verbot ihrer willkürlichen
Ungleichbehandlung zu sehen, die bei einer redlichen und
vernünftigen Beurteilung nicht gerechtfertigt erscheint (RIS-Justiz
RS0060059).</w:t>
      </w:r>
    </w:p>
    <w:p>
      <w:pPr>
        <w:widowControl w:val="on"/>
        <w:pBdr/>
        <w:spacing w:before="140" w:after="240" w:line="288" w:lineRule="auto"/>
        <w:ind w:left="0" w:right="0"/>
        <w:jc w:val="left"/>
      </w:pPr>
      <w:r>
        <w:rPr>
          <w:rFonts w:ascii="Arial" w:hAnsi="Arial" w:eastAsia="Arial" w:cs="Arial"/>
          <w:color w:val="000000"/>
          <w:sz w:val="20"/>
          <w:szCs w:val="20"/>
        </w:rPr>
        <w:t xml:space="preserve">Wenn der Gesellschaftsvertrag die Gewinnverteilung oder die
Gewinnverwendung einem Gesellschafterbeschluss vorbehält, muss man
(mangels sonstiger Anhaltspunkte im konkreten Gesellschaftsvertrag)
wohl davon ausgehen, dass die Gesellschafter sich die Entscheidung
vorbehalten haben, ob überhaupt bzw in welchem Umfang es zu einer
Ausschüttung des Bilanzgewinns kommen soll. Wenn die Gesellschafter
(auch) die Verteilungsquoten abweichend per Beschluss festlegen
wollen, müssen sie dies eindeutig im Gesellschaftsvertrag regeln
(RIS-Justiz RS0130906).</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XIX. Schiedsgericht</w:t>
      </w:r>
    </w:p>
    <w:p>
      <w:pPr>
        <w:widowControl w:val="on"/>
        <w:pBdr/>
        <w:spacing w:before="140" w:after="240" w:line="288" w:lineRule="auto"/>
        <w:ind w:left="0" w:right="0"/>
        <w:jc w:val="left"/>
      </w:pPr>
      <w:r>
        <w:rPr>
          <w:rFonts w:ascii="Arial" w:hAnsi="Arial" w:eastAsia="Arial" w:cs="Arial"/>
          <w:color w:val="000000"/>
          <w:sz w:val="20"/>
          <w:szCs w:val="20"/>
        </w:rPr>
        <w:t xml:space="preserve">Welche Streitigkeiten von der Schiedsvereinbarung umfasst sind,
ist aufgrund ihres – nach dem Parteiwillen auszulegenden – Inhalts
zu ermitteln (RIS-Justiz RS0018023).</w:t>
      </w:r>
    </w:p>
    <w:p>
      <w:pPr>
        <w:widowControl w:val="on"/>
        <w:pBdr/>
        <w:spacing w:before="140" w:after="240" w:line="288" w:lineRule="auto"/>
        <w:ind w:left="0" w:right="0"/>
        <w:jc w:val="left"/>
      </w:pPr>
      <w:r>
        <w:rPr>
          <w:rFonts w:ascii="Arial" w:hAnsi="Arial" w:eastAsia="Arial" w:cs="Arial"/>
          <w:color w:val="000000"/>
          <w:sz w:val="20"/>
          <w:szCs w:val="20"/>
        </w:rPr>
        <w:t xml:space="preserve">Entscheidend für die Zuständigkeit des Schiedsgerichtes ist der
Text der Schiedsvereinbarung mit Berücksichtigung vernünftiger und
den Zweck der Vereinbarung favorisierender Auslegung. Eine
ausdehnende Auslegung der Wirksamkeit auf ergänzende Abkommen zum
ursprünglichen Vertrag ist unzulässig (RIS-Justiz RS0044997).</w:t>
      </w:r>
    </w:p>
    <w:p>
      <w:pPr>
        <w:widowControl w:val="on"/>
        <w:pBdr/>
        <w:spacing w:before="140" w:after="240" w:line="288" w:lineRule="auto"/>
        <w:ind w:left="0" w:right="0"/>
        <w:jc w:val="left"/>
      </w:pPr>
      <w:r>
        <w:rPr>
          <w:rFonts w:ascii="Arial" w:hAnsi="Arial" w:eastAsia="Arial" w:cs="Arial"/>
          <w:color w:val="000000"/>
          <w:sz w:val="20"/>
          <w:szCs w:val="20"/>
        </w:rPr>
        <w:t xml:space="preserve">Während eine Schlichtungsstelle lediglich dazu berufen ist, vor
Anrufung des Gerichtes einen Rechtsstreit durch Herbeiführung einer
Einigung zwischen den Streitteilen zu vermeiden, hat das
Schiedsgericht die Sache anstelle des staatlichen Gerichtes zu
entscheiden. Die Vereinbarung eines Schiedsgerichtes begründet
daher das Prozesshindernis der sachlichen Unzuständigkeit; eine
obligatorische Schlichtungsklausel führt hingegen zur Abweisung des
Klagebegehrens mangels Klagbarkeit (RIS-Justiz RS0045292).</w:t>
      </w:r>
    </w:p>
    <w:p>
      <w:pPr>
        <w:widowControl w:val="on"/>
        <w:pBdr/>
        <w:spacing w:before="140" w:after="240" w:line="288" w:lineRule="auto"/>
        <w:ind w:left="0" w:right="0"/>
        <w:jc w:val="left"/>
      </w:pPr>
      <w:r>
        <w:rPr>
          <w:rFonts w:ascii="Arial" w:hAnsi="Arial" w:eastAsia="Arial" w:cs="Arial"/>
          <w:color w:val="000000"/>
          <w:sz w:val="20"/>
          <w:szCs w:val="20"/>
        </w:rPr>
        <w:t xml:space="preserve">Der Schiedsvertrag bewirkt zwar nicht Unzulässigkeit des
Rechtsweges, sondern nur eine verzichtbare sachliche
Unzuständigkeit des ordentlichen Gerichtes; dennoch können
Forderungen, über die vereinbarungsgemäß ein Schiedsgericht zu
erkennen hat, beim ordentlichen Gericht nicht zur
Prozessaufrechnung gestellt werden, es sei denn, dass sie vom
Schiedsgericht schon rechtskräftig festgestellt worden wären
(RIS-Justiz RS0039844).</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 Kostenregelung</w:t>
      </w:r>
    </w:p>
    <w:p>
      <w:pPr>
        <w:widowControl w:val="on"/>
        <w:pBdr/>
        <w:spacing w:before="140" w:after="240" w:line="288" w:lineRule="auto"/>
        <w:ind w:left="0" w:right="0"/>
        <w:jc w:val="left"/>
      </w:pPr>
      <w:r>
        <w:rPr>
          <w:rFonts w:ascii="Arial" w:hAnsi="Arial" w:eastAsia="Arial" w:cs="Arial"/>
          <w:color w:val="000000"/>
          <w:sz w:val="20"/>
          <w:szCs w:val="20"/>
        </w:rPr>
        <w:t xml:space="preserve">Die Kostenregelung legt fest, dass Gründungskosten analog
§ 7 Abs 2 GmbHG durch die Gesellschaft getragen
werden.</w:t>
      </w:r>
    </w:p>
    <w:p>
      <w:pPr>
        <w:widowControl w:val="on"/>
        <w:pBdr/>
        <w:spacing w:before="140" w:after="240" w:line="288" w:lineRule="auto"/>
        <w:ind w:left="0" w:right="0"/>
        <w:jc w:val="left"/>
      </w:pPr>
      <w:r>
        <w:rPr>
          <w:rFonts w:ascii="Arial" w:hAnsi="Arial" w:eastAsia="Arial" w:cs="Arial"/>
          <w:color w:val="000000"/>
          <w:sz w:val="20"/>
          <w:szCs w:val="20"/>
        </w:rPr>
        <w:t xml:space="preserve">Die im Gesellschaftsvertrag enthaltene Gründungskostenregelung
muss klarstellen, dass nur die tatsächlich angefallenen
Aufwendungen und Kosten als Gründungskosten ersetzt werden und
einen ziffernmäßigen Höchstbetrag festlegen. Eine Regelung, die
einen unlimitierten Ersatz von Gründungskosten vorsieht, ist
unzulässig. Die Gründungskostenregelung muss bereits bei
Ersteintragung vorliegen.</w:t>
      </w:r>
    </w:p>
    <w:p>
      <w:pPr>
        <w:widowControl w:val="on"/>
        <w:pBdr/>
        <w:spacing w:before="140" w:after="240" w:line="288" w:lineRule="auto"/>
        <w:ind w:left="0" w:right="0"/>
        <w:jc w:val="left"/>
      </w:pPr>
      <w:r>
        <w:rPr>
          <w:rFonts w:ascii="Arial" w:hAnsi="Arial" w:eastAsia="Arial" w:cs="Arial"/>
          <w:color w:val="000000"/>
          <w:sz w:val="20"/>
          <w:szCs w:val="20"/>
        </w:rPr>
        <w:t xml:space="preserve">Nach herrschender Auffassung führt das Fehlen einer den
Anforderungen von § 7 Abs 2 GmbHG entsprechenden
gesellschaftsvertraglichen Regelung der Gründungskosten zu einer
Ablehnung des Eintragungsgesuchs (vgl
</w:t>
      </w:r>
      <w:r>
        <w:rPr>
          <w:rFonts w:ascii="Arial" w:hAnsi="Arial" w:eastAsia="Arial" w:cs="Arial"/>
          <w:i/>
          <w:iCs/>
          <w:color w:val="000000"/>
          <w:sz w:val="20"/>
          <w:szCs w:val="20"/>
        </w:rPr>
        <w:t xml:space="preserve">Koppensteiner/Rüffler</w:t>
      </w:r>
      <w:r>
        <w:rPr>
          <w:rFonts w:ascii="Arial" w:hAnsi="Arial" w:eastAsia="Arial" w:cs="Arial"/>
          <w:color w:val="000000"/>
          <w:sz w:val="20"/>
          <w:szCs w:val="20"/>
        </w:rPr>
        <w:t xml:space="preserve">, GmbHG [2007] § 7 Rz 14;
vgl auch OLG Wien NZ 1975, 76 = HS 9611, 9621 und NZ 1976, 31 = HS
9663, 9622). Da ein Gesellschaftsvertrag eine untrennbare Einheit
bildet und damit eine Eintragung allein von mangelfreien
Bestimmungen des Gesellschaftsvertrags nicht zulässig ist (6 Ob
123/99b am Ende; OLG Wien NZ 2004, 27), kann ein
Gesellschaftsvertrag mit einer unzulässigen Gründungskostenklausel
nicht eingetragen werden (OGH 24.10.2019, 6 Ob 100/19b).</w:t>
      </w:r>
    </w:p>
    <w:p>
      <w:pPr>
        <w:widowControl w:val="on"/>
        <w:pBdr/>
        <w:spacing w:before="200" w:after="200" w:line="300" w:lineRule="auto"/>
        <w:ind w:left="0" w:right="0"/>
        <w:jc w:val="left"/>
        <w:outlineLvl w:val="2"/>
      </w:pPr>
      <w:r>
        <w:rPr>
          <w:rFonts w:ascii="Arial" w:hAnsi="Arial" w:eastAsia="Arial" w:cs="Arial"/>
          <w:color w:val="363A40"/>
          <w:sz w:val="22"/>
          <w:szCs w:val="22"/>
        </w:rPr>
        <w:t xml:space="preserve">XXI. Bekanntmachungen</w:t>
      </w:r>
    </w:p>
    <w:p>
      <w:pPr>
        <w:widowControl w:val="on"/>
        <w:pBdr/>
        <w:spacing w:before="140" w:after="240" w:line="288" w:lineRule="auto"/>
        <w:ind w:left="0" w:right="0"/>
        <w:jc w:val="left"/>
      </w:pPr>
      <w:r>
        <w:rPr>
          <w:rFonts w:ascii="Arial" w:hAnsi="Arial" w:eastAsia="Arial" w:cs="Arial"/>
          <w:color w:val="000000"/>
          <w:sz w:val="20"/>
          <w:szCs w:val="20"/>
        </w:rPr>
        <w:t xml:space="preserve">Ist der Empfänger keine natürliche Person, so ist das Dokument
nach § 13 Abs 3 ZustG einem zur Empfangnahme befugten
Vertreter zuzustellen. Bei dieser Bestimmung handelt es sich um
eine vom Zusteller zu beachtende Regelung (vgl VwGH 19.12.2000,
2000/14/0161). Sie schließt nicht aus, dass bereits die Behörde in
der Zustellverfügung ein Organ der juristischen Person als
„Empfänger“ bestimmt (vgl VwGH 31.10.2000, 95/15/0198; 28.5.2010,
2004/10/0082; 30.3.2016, Ro 2016/09/0002). Diesfalls ist nicht die
juristische Person, sondern das betreffende Organ „Empfänger“ im
formellen Sinn (vgl VwGH 23.4.1992, 90/16/0187; 21.4.2010,
2007/03/0173, je mwN) (VwGH 22.11.2023, Ra 2023/13/0048).</w:t>
      </w:r>
    </w:p>
    <w:p>
      <w:pPr>
        <w:widowControl w:val="on"/>
        <w:pBdr/>
        <w:spacing w:before="140" w:after="240" w:line="288" w:lineRule="auto"/>
        <w:ind w:left="0" w:right="0"/>
        <w:jc w:val="left"/>
      </w:pPr>
      <w:r>
        <w:rPr>
          <w:rFonts w:ascii="Arial" w:hAnsi="Arial" w:eastAsia="Arial" w:cs="Arial"/>
          <w:color w:val="000000"/>
          <w:sz w:val="20"/>
          <w:szCs w:val="20"/>
        </w:rPr>
        <w:t xml:space="preserve">Die Eintragung der Geschäftsanschrift im Firmenbuch bedeutet für
sich genommen noch nicht, dass an dieser Adresse wirksam zugestellt
werden könnte. Ist der handelsrechtliche Sitz einer Gesellschaft
eine „reine Briefkastenadresse“, tritt an die Stelle dieses Sitzes
als Abgabestelle jener Ort, an dem deren Hauptverwaltung
tatsächlich geführt wird. 2. Vertreter nach § 13 Abs 3
ZustG ist nur, wer nach den die Organisation der juristischen
Person regelnden Vorschriften vertretungsbefugt ist. Dies würde im
Fall der beklagten GmbH die regelmäßige Anwesenheit ihres
Geschäftsführers in der Steuerberatungskanzlei erfordern. Die
regelmäßige Anwesenheit einer nach § 13 Abs 2 ZustG
bevollmächtigten Person reicht demgegenüber nicht aus, um eine
Abgabestelle zu begründen, an der durch Hinterlegung zugestellt
werden kann (OGH 21.11.2022, 8 Ob 139/22g, GesRz 2023,
212).</w:t>
      </w:r>
    </w:p>
    <w:sectPr xmlns:w="http://schemas.openxmlformats.org/wordprocessingml/2006/main" xmlns:r="http://schemas.openxmlformats.org/officeDocument/2006/relationships" w:rsidR="00F961DC" w:rsidSect="001A2D5D">
      <w:headerReference w:type="even" r:id="rId7"/>
      <w:headerReference w:type="default" r:id="rId8"/>
      <w:footerReference w:type="even" r:id="rId9"/>
      <w:footerReference w:type="default" r:id="rId10"/>
      <w:headerReference w:type="first" r:id="rId11"/>
      <w:footerReference w:type="first" r:id="rId12"/>
      <w:pgSz w:w="11906" w:h="16838" w:orient="portrait" w:code="9"/>
      <w:pgMar w:top="1417" w:right="1701" w:bottom="1417" w:left="1701" w:header="708" w:footer="708" w:gutter="0"/>
      <w:cols w:space="708" w:num="1"/>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2D5D" w:rsidRDefault="001A2D5D" w:rsidP="001A2D5D">
      <w:pPr>
        <w:spacing w:after="0" w:line="240" w:lineRule="auto"/>
      </w:pPr>
      <w:r>
        <w:separator/>
      </w:r>
    </w:p>
  </w:endnote>
  <w:endnote w:type="continuationSeparator" w:id="0">
    <w:p w:rsidR="001A2D5D" w:rsidRDefault="001A2D5D" w:rsidP="001A2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272557442"/>
      <w:docPartObj>
        <w:docPartGallery w:val="Page Numbers (Bottom of Page)"/>
        <w:docPartUnique/>
      </w:docPartObj>
    </w:sdtPr>
    <w:sdtEndPr/>
    <w:sdtContent>
      <w:sdt>
        <w:sdtPr>
          <w:rPr>
            <w:rFonts w:ascii="Arial" w:hAnsi="Arial" w:cs="Arial"/>
            <w:sz w:val="16"/>
            <w:szCs w:val="16"/>
          </w:rPr>
          <w:id w:val="-1294594795"/>
          <w:docPartObj>
            <w:docPartGallery w:val="Page Numbers (Top of Page)"/>
            <w:docPartUnique/>
          </w:docPartObj>
        </w:sdtPr>
        <w:sdtEndPr/>
        <w:sdtContent>
          <w:bookmarkStart w:id="0" w:name="_GoBack" w:displacedByCustomXml="prev"/>
          <w:p w:rsidR="001A2D5D" w:rsidRPr="001A2D5D" w:rsidRDefault="001A2D5D">
            <w:pPr>
              <w:pStyle w:val="Fuzeile"/>
              <w:jc w:val="right"/>
              <w:rPr>
                <w:rFonts w:ascii="Arial" w:hAnsi="Arial" w:cs="Arial"/>
                <w:sz w:val="16"/>
                <w:szCs w:val="16"/>
              </w:rPr>
            </w:pPr>
            <w:r w:rsidRPr="00E73211">
              <w:rPr>
                <w:rFonts w:ascii="Arial" w:hAnsi="Arial" w:cs="Arial"/>
                <w:color w:val="000000" w:themeColor="text1"/>
                <w:sz w:val="16"/>
                <w:szCs w:val="16"/>
              </w:rPr>
              <w:t xml:space="preserve">Seite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PAGE</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r w:rsidRPr="00E73211">
              <w:rPr>
                <w:rFonts w:ascii="Arial" w:hAnsi="Arial" w:cs="Arial"/>
                <w:color w:val="000000" w:themeColor="text1"/>
                <w:sz w:val="16"/>
                <w:szCs w:val="16"/>
              </w:rPr>
              <w:t xml:space="preserve"> von </w:t>
            </w:r>
            <w:r w:rsidRPr="00E73211">
              <w:rPr>
                <w:rFonts w:ascii="Arial" w:hAnsi="Arial" w:cs="Arial"/>
                <w:b/>
                <w:bCs/>
                <w:color w:val="000000" w:themeColor="text1"/>
                <w:sz w:val="16"/>
                <w:szCs w:val="16"/>
              </w:rPr>
              <w:fldChar w:fldCharType="begin"/>
            </w:r>
            <w:r w:rsidRPr="00E73211">
              <w:rPr>
                <w:rFonts w:ascii="Arial" w:hAnsi="Arial" w:cs="Arial"/>
                <w:b/>
                <w:bCs/>
                <w:color w:val="000000" w:themeColor="text1"/>
                <w:sz w:val="16"/>
                <w:szCs w:val="16"/>
              </w:rPr>
              <w:instrText>NUMPAGES</w:instrText>
            </w:r>
            <w:r w:rsidRPr="00E73211">
              <w:rPr>
                <w:rFonts w:ascii="Arial" w:hAnsi="Arial" w:cs="Arial"/>
                <w:b/>
                <w:bCs/>
                <w:color w:val="000000" w:themeColor="text1"/>
                <w:sz w:val="16"/>
                <w:szCs w:val="16"/>
              </w:rPr>
              <w:fldChar w:fldCharType="separate"/>
            </w:r>
            <w:r w:rsidR="00E73211">
              <w:rPr>
                <w:rFonts w:ascii="Arial" w:hAnsi="Arial" w:cs="Arial"/>
                <w:b/>
                <w:bCs/>
                <w:noProof/>
                <w:color w:val="000000" w:themeColor="text1"/>
                <w:sz w:val="16"/>
                <w:szCs w:val="16"/>
              </w:rPr>
              <w:t>1</w:t>
            </w:r>
            <w:r w:rsidRPr="00E73211">
              <w:rPr>
                <w:rFonts w:ascii="Arial" w:hAnsi="Arial" w:cs="Arial"/>
                <w:b/>
                <w:bCs/>
                <w:color w:val="000000" w:themeColor="text1"/>
                <w:sz w:val="16"/>
                <w:szCs w:val="16"/>
              </w:rPr>
              <w:fldChar w:fldCharType="end"/>
            </w:r>
          </w:p>
          <w:bookmarkEnd w:id="0" w:displacedByCustomXml="next"/>
        </w:sdtContent>
      </w:sdt>
    </w:sdtContent>
  </w:sdt>
  <w:p w:rsidR="001A2D5D" w:rsidRDefault="001A2D5D">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2D5D" w:rsidRDefault="001A2D5D" w:rsidP="001A2D5D">
      <w:pPr>
        <w:spacing w:after="0" w:line="240" w:lineRule="auto"/>
      </w:pPr>
      <w:r>
        <w:separator/>
      </w:r>
    </w:p>
  </w:footnote>
  <w:footnote w:type="continuationSeparator" w:id="0">
    <w:p w:rsidR="001A2D5D" w:rsidRDefault="001A2D5D" w:rsidP="001A2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3211" w:rsidRDefault="00E7321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1698750">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61531817">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348394484">
    <w:multiLevelType w:val="hybridMultilevel"/>
    <w:lvl w:ilvl="0">
      <w:start w:val=""/>
      <w:numFmt w:val="bullet"/>
      <w:lvlText w:val="●"/>
      <w:lvlJc w:val="left"/>
      <w:pPr>
        <w:ind w:left="720" w:hanging="360"/>
      </w:pPr>
      <w:rPr/>
    </w:lvl>
    <w:lvl w:ilvl="1">
      <w:start w:val=""/>
      <w:numFmt w:val="bullet"/>
      <w:lvlText w:val="o"/>
      <w:lvlJc w:val="left"/>
      <w:pPr>
        <w:ind w:left="1440" w:hanging="360"/>
      </w:pPr>
      <w:rPr>
        <w:rFonts w:ascii="Courier New" w:hAnsi="Courier New" w:cs="Courier New" w:hint="default"/>
      </w:rPr>
    </w:lvl>
    <w:lvl w:ilvl="2">
      <w:start w:val=""/>
      <w:numFmt w:val="bullet"/>
      <w:lvlText w:val=""/>
      <w:lvlJc w:val="left"/>
      <w:pPr>
        <w:ind w:left="2160" w:hanging="360"/>
      </w:pPr>
      <w:rPr>
        <w:rFonts w:ascii="Wingdings" w:hAnsi="Wingdings" w:cs="Wingdings" w:hint="default"/>
      </w:rPr>
    </w:lvl>
    <w:lvl w:ilvl="3">
      <w:start w:val=""/>
      <w:numFmt w:val="bullet"/>
      <w:lvlText w:val=""/>
      <w:lvlJc w:val="left"/>
      <w:pPr>
        <w:ind w:left="2880" w:hanging="360"/>
      </w:pPr>
      <w:rPr>
        <w:rFonts w:ascii="Symbol" w:hAnsi="Symbol" w:cs="Symbol" w:hint="default"/>
      </w:rPr>
    </w:lvl>
    <w:lvl w:ilvl="4">
      <w:start w:val=""/>
      <w:numFmt w:val="bullet"/>
      <w:lvlText w:val="o"/>
      <w:lvlJc w:val="left"/>
      <w:pPr>
        <w:ind w:left="3600" w:hanging="360"/>
      </w:pPr>
      <w:rPr>
        <w:rFonts w:ascii="Courier New" w:hAnsi="Courier New" w:cs="Courier New" w:hint="default"/>
      </w:rPr>
    </w:lvl>
    <w:lvl w:ilvl="5">
      <w:start w:val=""/>
      <w:numFmt w:val="bullet"/>
      <w:lvlText w:val=""/>
      <w:lvlJc w:val="left"/>
      <w:pPr>
        <w:ind w:left="4320" w:hanging="360"/>
      </w:pPr>
      <w:rPr>
        <w:rFonts w:ascii="Wingdings" w:hAnsi="Wingdings" w:cs="Wingdings" w:hint="default"/>
      </w:rPr>
    </w:lvl>
    <w:lvl w:ilvl="6">
      <w:start w:val=""/>
      <w:numFmt w:val="bullet"/>
      <w:lvlText w:val=""/>
      <w:lvlJc w:val="left"/>
      <w:pPr>
        <w:ind w:left="5040" w:hanging="360"/>
      </w:pPr>
      <w:rPr>
        <w:rFonts w:ascii="Symbol" w:hAnsi="Symbol" w:cs="Symbol" w:hint="default"/>
      </w:rPr>
    </w:lvl>
    <w:lvl w:ilvl="7">
      <w:start w:val=""/>
      <w:numFmt w:val="bullet"/>
      <w:lvlText w:val="o"/>
      <w:lvlJc w:val="left"/>
      <w:pPr>
        <w:ind w:left="5760" w:hanging="360"/>
      </w:pPr>
      <w:rPr>
        <w:rFonts w:ascii="Courier New" w:hAnsi="Courier New" w:cs="Courier New" w:hint="default"/>
      </w:rPr>
    </w:lvl>
    <w:lvl w:ilvl="8">
      <w:start w:val=""/>
      <w:numFmt w:val="bullet"/>
      <w:lvlText w:val=""/>
      <w:lvlJc w:val="left"/>
      <w:pPr>
        <w:ind w:left="6480" w:hanging="360"/>
      </w:pPr>
      <w:rPr>
        <w:rFonts w:ascii="Wingdings" w:hAnsi="Wingdings" w:cs="Wingdings" w:hint="default"/>
      </w:rPr>
    </w:lvl>
  </w:abstractNum>
  <w:abstractNum w:abstractNumId="41458847">
    <w:multiLevelType w:val="hybridMultilevel"/>
    <w:lvl w:ilvl="0" w:tplc="75136139">
      <w:start w:val="1"/>
      <w:numFmt w:val="decimal"/>
      <w:lvlText w:val="%1."/>
      <w:lvlJc w:val="left"/>
      <w:pPr>
        <w:ind w:left="720" w:hanging="360"/>
      </w:pPr>
    </w:lvl>
    <w:lvl w:ilvl="1" w:tplc="75136139" w:tentative="1">
      <w:start w:val="1"/>
      <w:numFmt w:val="lowerLetter"/>
      <w:lvlText w:val="%2."/>
      <w:lvlJc w:val="left"/>
      <w:pPr>
        <w:ind w:left="1440" w:hanging="360"/>
      </w:pPr>
    </w:lvl>
    <w:lvl w:ilvl="2" w:tplc="75136139" w:tentative="1">
      <w:start w:val="1"/>
      <w:numFmt w:val="lowerRoman"/>
      <w:lvlText w:val="%3."/>
      <w:lvlJc w:val="right"/>
      <w:pPr>
        <w:ind w:left="2160" w:hanging="180"/>
      </w:pPr>
    </w:lvl>
    <w:lvl w:ilvl="3" w:tplc="75136139" w:tentative="1">
      <w:start w:val="1"/>
      <w:numFmt w:val="decimal"/>
      <w:lvlText w:val="%4."/>
      <w:lvlJc w:val="left"/>
      <w:pPr>
        <w:ind w:left="2880" w:hanging="360"/>
      </w:pPr>
    </w:lvl>
    <w:lvl w:ilvl="4" w:tplc="75136139" w:tentative="1">
      <w:start w:val="1"/>
      <w:numFmt w:val="lowerLetter"/>
      <w:lvlText w:val="%5."/>
      <w:lvlJc w:val="left"/>
      <w:pPr>
        <w:ind w:left="3600" w:hanging="360"/>
      </w:pPr>
    </w:lvl>
    <w:lvl w:ilvl="5" w:tplc="75136139" w:tentative="1">
      <w:start w:val="1"/>
      <w:numFmt w:val="lowerRoman"/>
      <w:lvlText w:val="%6."/>
      <w:lvlJc w:val="right"/>
      <w:pPr>
        <w:ind w:left="4320" w:hanging="180"/>
      </w:pPr>
    </w:lvl>
    <w:lvl w:ilvl="6" w:tplc="75136139" w:tentative="1">
      <w:start w:val="1"/>
      <w:numFmt w:val="decimal"/>
      <w:lvlText w:val="%7."/>
      <w:lvlJc w:val="left"/>
      <w:pPr>
        <w:ind w:left="5040" w:hanging="360"/>
      </w:pPr>
    </w:lvl>
    <w:lvl w:ilvl="7" w:tplc="75136139" w:tentative="1">
      <w:start w:val="1"/>
      <w:numFmt w:val="lowerLetter"/>
      <w:lvlText w:val="%8."/>
      <w:lvlJc w:val="left"/>
      <w:pPr>
        <w:ind w:left="5760" w:hanging="360"/>
      </w:pPr>
    </w:lvl>
    <w:lvl w:ilvl="8" w:tplc="75136139" w:tentative="1">
      <w:start w:val="1"/>
      <w:numFmt w:val="lowerRoman"/>
      <w:lvlText w:val="%9."/>
      <w:lvlJc w:val="right"/>
      <w:pPr>
        <w:ind w:left="6480" w:hanging="180"/>
      </w:pPr>
    </w:lvl>
  </w:abstractNum>
  <w:abstractNum w:abstractNumId="41458846">
    <w:multiLevelType w:val="hybridMultilevel"/>
    <w:lvl w:ilvl="0" w:tplc="3042602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458846">
    <w:abstractNumId w:val="41458846"/>
  </w:num>
  <w:num w:numId="41458847">
    <w:abstractNumId w:val="41458847"/>
  </w:num>
  <w:num w:numId="348394484">
    <w:abstractNumId w:val="348394484"/>
  </w:num>
  <w:num w:numId="461531817">
    <w:abstractNumId w:val="461531817"/>
  </w:num>
  <w:num w:numId="101698750">
    <w:abstractNumId w:val="1016987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trackRevisions w:val="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D5D"/>
    <w:rsid w:val="001A2D5D"/>
    <w:rsid w:val="00205CAE"/>
    <w:rsid w:val="002141BA"/>
    <w:rsid w:val="004A3273"/>
    <w:rsid w:val="00E73211"/>
  </w:rsids>
  <m:mathPr>
    <m:mathFont m:val="Cambria Math"/>
    <m:brkBin m:val="before"/>
    <m:brkBinSub m:val="--"/>
    <m:smallFrac m:val="0"/>
    <m:dispDef/>
    <m:lMargin m:val="0"/>
    <m:rMargin m:val="0"/>
    <m:defJc m:val="centerGroup"/>
    <m:wrapIndent m:val="1440"/>
    <m:intLim m:val="subSup"/>
    <m:naryLim m:val="undOvr"/>
  </m:mathPr>
  <w:themeFontLang w:val="de_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_DE" w:eastAsia="de_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A2D5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A2D5D"/>
  </w:style>
  <w:style w:type="paragraph" w:styleId="Fuzeile">
    <w:name w:val="footer"/>
    <w:basedOn w:val="Standard"/>
    <w:link w:val="FuzeileZchn"/>
    <w:uiPriority w:val="99"/>
    <w:unhideWhenUsed/>
    <w:rsid w:val="001A2D5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A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 Id="rId598817730" Type="http://schemas.openxmlformats.org/officeDocument/2006/relationships/numbering" Target="numbering.xml"/><Relationship Id="rId746335792" Type="http://schemas.openxmlformats.org/officeDocument/2006/relationships/comments" Target="comment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Company>WEKA Business Solutions GmbH</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dcterms:created xsi:type="dcterms:W3CDTF">2015-05-12T09:10:00Z</dcterms:created>
  <dcterms:modified xsi:type="dcterms:W3CDTF">2015-05-12T09:16:00Z</dcterms:modified>
</cp:coreProperties>
</file>