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9044492" w:name="document"/>
    <w:bookmarkEnd w:id="59044492"/>
    <w:p/>
    <w:p>
      <w:pPr>
        <w:widowControl w:val="on"/>
        <w:pBdr/>
        <w:spacing w:before="0" w:after="280" w:line="240" w:lineRule="auto"/>
        <w:ind w:left="0" w:right="0"/>
        <w:jc w:val="left"/>
      </w:pPr>
      <w:r>
        <w:rPr>
          <w:rFonts w:ascii="Arial" w:hAnsi="Arial" w:eastAsia="Arial" w:cs="Arial"/>
          <w:color w:val="363A40"/>
          <w:sz w:val="24"/>
          <w:szCs w:val="24"/>
        </w:rPr>
        <w:t xml:space="preserve">Dokument-ID: 976253 | Wolfgang Steinberger -
Stanislava Doganova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einer GmbH &amp; Co KG (inkl
Gesellschafterausschluss, Wettbewerbs- und Abwerbeverbot,
Kundenschutz)</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w:t>
      </w:r>
    </w:p>
    <w:p>
      <w:pPr>
        <w:widowControl w:val="on"/>
        <w:pBdr/>
        <w:spacing w:before="140" w:after="240" w:line="288" w:lineRule="auto"/>
        <w:ind w:left="0" w:right="0"/>
        <w:jc w:val="center"/>
      </w:pPr>
      <w:r>
        <w:rPr>
          <w:rFonts w:ascii="Arial" w:hAnsi="Arial" w:eastAsia="Arial" w:cs="Arial"/>
          <w:color w:val="000000"/>
          <w:sz w:val="20"/>
          <w:szCs w:val="20"/>
        </w:rPr>
        <w:t xml:space="preserve">der</w:t>
      </w:r>
      <w:r>
        <w:rPr>
          <w:rFonts w:ascii="Arial" w:hAnsi="Arial" w:eastAsia="Arial" w:cs="Arial"/>
          <w:color w:val="000000"/>
          <w:sz w:val="20"/>
          <w:szCs w:val="20"/>
        </w:rPr>
        <w:br/>
        <w:t xml:space="preserve">X Planungs-GmbH &amp; Co KG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 Firma, Sitz und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führt die Firma:</w:t>
            </w:r>
          </w:p>
        </w:tc>
      </w:tr>
      <w:tr>
        <w:trPr>
          <w:trHeight w:val="0" w:hRule="atLeast"/>
        </w:trPr>
        <w:tc>
          <w:tcPr>
            <w:tcW w:w="0" w:type="auto"/>
            <w:gridSpan w:val="2"/>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X Planungs-GmbH &amp; Co KG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Wien.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die entgeltliche Planung,
Beratung, Gestaltung, Bearbeitung und Durchführung von Aufträgen
auf dem Gebiet des Marketings, der Werbung, der Public Relations,
der Unternehmens- und Personalberatung sowie der
Reproduktionstechnik auf allen damit im Zusammenhang stehenden
Gebieten. Die Gesellschaft kann alle Geschäfte betreiben, die
geeignet sind, dem Unternehmensgegenstand unmittelbar oder
mittelbar zu dienen.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berechtigt, Zweigniederlassungen zu
errichten und sich an anderen Unternehmen, insbesondere als deren
persönlich haftende Gesellschafterin, zu beteiligen.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2 Gesellschaftskapital,
Beteiligung und Einlagen</w:t>
      </w:r>
    </w:p>
    <w:p>
      <w:pPr>
        <w:numPr>
          <w:ilvl w:val="0"/>
          <w:numId w:val="2392842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Einzige unbeschränkt haftende Gesellschafterin ist die Y
Holding GmbH, mit dem Sitz in Wien und der Geschäftsanschrift …
eingetragen zu FN … im Firmenbuch des Handelsgerichts Wien.</w:t>
      </w:r>
    </w:p>
    <w:p>
      <w:pPr>
        <w:numPr>
          <w:ilvl w:val="0"/>
          <w:numId w:val="2392842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Komplementärin leistet keine Kapitaleinlage und ist daher
auch nicht am Kapital der Gesellschaft beteiligt, sondern bloße
Arbeitsgesellschafterin.</w:t>
      </w:r>
    </w:p>
    <w:p>
      <w:pPr>
        <w:numPr>
          <w:ilvl w:val="0"/>
          <w:numId w:val="2392842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 Handels OG, mit dem Sitz in Wien und der Geschäftsanschrift …
eingetragen zu FN … im Firmenbuch des Handelsgerichts Wien,
übernimmt eine Pflichteinlage in Höhe von EUR 10.000,–, die
voll aufgebracht wurde.</w:t>
      </w:r>
    </w:p>
    <w:p>
      <w:pPr>
        <w:numPr>
          <w:ilvl w:val="0"/>
          <w:numId w:val="2392842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über die Pflichteinlage hinausgehende Haftsumme wird von
der Kommanditistin nicht übernommen. Die Kommanditistin ist an der
Gesellschaft mit einem ihrer Pflichteinlage entsprechenden
Gesellschaftsanteil beteiligt.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3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auf unbestimmte Zeit geschlossen. Die
Kündigung der Gesellschaft richtet sich nach § 13
Z 1.</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4 Geschäftsführung und
Vertretung</w:t>
      </w:r>
    </w:p>
    <w:p>
      <w:pPr>
        <w:numPr>
          <w:ilvl w:val="0"/>
          <w:numId w:val="1932346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 Geschäftsführung und Vertretung ist die persönlich haftende
Gesellschafterin berechtigt und verpflichtet. Die persönlich
haftende Gesellschafterin übt die Geschäftsführung und Vertretung
durch ihre Organe aus.</w:t>
      </w:r>
    </w:p>
    <w:p>
      <w:pPr>
        <w:numPr>
          <w:ilvl w:val="0"/>
          <w:numId w:val="1932346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Kommanditistin ist sowohl von der Geschäftsführung als auch
von der Vertretung der Gesellschaft ausgeschlossen.</w:t>
      </w:r>
    </w:p>
    <w:p>
      <w:pPr>
        <w:numPr>
          <w:ilvl w:val="0"/>
          <w:numId w:val="19323469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persönlich haftenden Gesellschafterin sind alle mit der
zweckmäßigen Geschäftsführung verbundenen Auslagen zulasten des
Ergebnisses der Gesellschaft laufend zu ersetzen.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5 Zustimmungsbedürftige
Geschäfte</w:t>
      </w:r>
    </w:p>
    <w:p>
      <w:pPr>
        <w:numPr>
          <w:ilvl w:val="0"/>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persönlich haftende Gesellschafterin hat vor Beginn eines
jeden Geschäftsjahres einen Budgetplan aufzustellen, der aus einem
Personalplan, einem Finanzplan und einer Ergebnisschätzung für
dieses Geschäftsjahr besteht und der die Einzelposten der Art nach
erkennen lässt. Dieser Budgetplan ist der Gesellschafterversammlung
zur Genehmigung vorzulegen. Maßnahmen, die in einem gebilligten
Budgetplan ausgewiesen sind, bedürfen nicht mehr der Zustimmung gem
Z 2.</w:t>
      </w:r>
    </w:p>
    <w:p>
      <w:pPr>
        <w:numPr>
          <w:ilvl w:val="0"/>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persönlich haftende Gesellschafterin bedarf der vorigen
Zustimmung der Gesellschafterversammlung für folgende Geschäfte der
Gesellschaft, soweit diese nicht gem Z 1 bereits erteilt
wurde:
</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Erwerb, Veräußerung und Belastung von Grundstücken,
grundstücksgleichen Rechten und Rechten an Grundstücken oder von
Wirtschaftsgütern des Anlagevermögens sowie Neu- und Umbauten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Erwerb und Veräußerung von Wertpapieren, Erwerb von und
Verfügungen über Beteiligungen an anderen Unternehmen, der
Abschluss, die Änderung oder die Aufhebung von
Unternehmensverträgen und die Eingehung, Änderung oder Beendigung
von stillen Gesellschaftsverhältnissen, Aufnahme neuer und Aufgabe
vorhandener Geschäftszweige und Tätigkeitsgebiete, Erwerb oder
Veräußerung von Betrieben oder Betriebsteilen, Errichtung oder
Aufhebung von Zweigniederlassungen oder Zweigbetrieben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Übernahme von Bürgschaften, Garantien oä Haftungen außerhalb
des üblichen Geschäftsbetriebes</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Gewährung und Aufnahme von Darlehen und sonstigen Krediten
sowie Eingehung von Wechselverbindlichkeiten außerhalb des üblichen
Geschäftsbetriebes mit Ausnahme der Gewährung von Darlehen an
Betriebsangehörige, die im Einzelfall EUR 5.000,– pa nicht
überschreiten dürfen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Einstellung von Angestellten oder sonstigen Mitarbeitern, sowie
die Beschäftigung von freien Mitarbeitern mit einem Jahreseinkommen
einschließlich aller geldwerten Leistungen von mehr als
EUR 70.000,– brutto und unabhängig davon stets die Gewährung
von Tantiemen oder Pensionszusagen; die Änderung oder Beendigung
von Anstellungsverträgen mit geschäftsführenden Gesellschaftern von
Tochtergesellschaften oder anderen Gesellschaften, an denen die
Gesellschaft unmittelbar oder mittelbar beteiligt ist, bedarf nicht
der Zustimmung der Gesellschafterversammlung. Die Gesellschafter
sind jedoch unverzüglich von derartigen Änderungen oder
Beendigungen schriftlich zu informieren.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Änderung oder Beendigung von Verträgen der
Gesellschaft mit Gesellschaftern, Ehegatten oder Abkömmlingen von
Gesellschaftern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von Pacht-, Miet-, Lizenz- oder ähnlichen
Dauerschuldverhältnissen, sofern der jeweilige Vertrag eine Dauer
von mehr als fünf Jahren hat und die voraussichtlichen
Verpflichtungen der Gesellschaft aus dem jeweiligen Vertrag während
seiner Mindestlaufzeit den Betrag von insgesamt EUR 35.000,–
pa überschreiten</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Rechtsgeschäfte außerhalb des üblichen Geschäftsbetriebes von
wesentlicher Bedeutung, was auch Spekulationsgeschäfte jeglicher
Art einschließt</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Stimmabgabe in Gesellschafterversammlungen von Gesellschaften,
an denen die Gesellschaft direkt oder indirekt beteiligt ist
(Beteiligungsgesellschaften), soweit folgende Themen Gegenstand der
Beschlussfassung sind:
</w:t>
      </w:r>
    </w:p>
    <w:p>
      <w:pPr>
        <w:numPr>
          <w:ilvl w:val="2"/>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Änderung des Gesellschaftsvertrages und Abweichung von den
Regeln dieses Gesellschaftsvertrages</w:t>
      </w:r>
    </w:p>
    <w:p>
      <w:pPr>
        <w:numPr>
          <w:ilvl w:val="2"/>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Entscheidungen über den Budgetplan</w:t>
      </w:r>
    </w:p>
    <w:p>
      <w:pPr>
        <w:numPr>
          <w:ilvl w:val="2"/>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Feststellung des Jahresabschlusses und der Gewinnverwendung
sowie</w:t>
      </w:r>
    </w:p>
    <w:p>
      <w:pPr>
        <w:numPr>
          <w:ilvl w:val="2"/>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Erlass oder Änderung einer Geschäftsordnung für die
Geschäftsführung</w:t>
      </w:r>
    </w:p>
    <w:p>
      <w:pPr>
        <w:numPr>
          <w:ilvl w:val="1"/>
          <w:numId w:val="559401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Abschluss und Änderung von Dienstleistungsverträgen zwischen
der Gesellschaft und mit ihr verbundenen Gesellschaften, sofern
diese Verträge eine Laufzeit von mehr als einem Jahr haben</w:t>
      </w:r>
    </w:p>
    <w:p>
      <w:pPr>
        <w:widowControl w:val="on"/>
        <w:pBdr/>
        <w:spacing w:before="140" w:after="240" w:line="288" w:lineRule="auto"/>
        <w:ind w:left="0" w:right="0"/>
        <w:jc w:val="left"/>
      </w:pPr>
      <w:r>
        <w:rPr>
          <w:rFonts w:ascii="Arial" w:hAnsi="Arial" w:eastAsia="Arial" w:cs="Arial"/>
          <w:color w:val="000000"/>
          <w:sz w:val="20"/>
          <w:szCs w:val="20"/>
        </w:rPr>
        <w:t xml:space="preserve">Verändert sich nach dem 01.01.20…, der für den Monat Januar
eines Kalenderjahres, der von der Statistik Austria festgestellte
Verbraucherpreisindex gegenüber dem Stand von Januar 20… um
mindestens 10 %, verändern sich die in Buchstaben d), e) und
g) genannten Höchstbeträge mit Wirkung ab Beginn des
darauffolgenden Geschäftsjahres im gleichen Verhältnis. Eine
entsprechende Veränderung tritt ein, sobald sich der
Verbraucherpreisindex für den Monat Januar eines folgenden Jahres
gegenüber dem Stand, der zur letzten Veränderung geführt hat,
wieder um mindestens 10 % verändert hat.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Gesellschafterversammlung kann den Katalog der
zustimmungsbedürftigen Geschäfte durch Gesellschafterbeschluss
erweitern.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6 Wettbewerbsverbot,
Kundenschutz und Abwerbeverbot</w:t>
      </w:r>
    </w:p>
    <w:p>
      <w:pPr>
        <w:numPr>
          <w:ilvl w:val="0"/>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Gesellschaftern, die eine natürliche Person sind, ist es
untersagt, die Gesellschaft mittelbar oder unmittelbar,
gelegentlich oder gewerbsmäßig, unter eigenem oder unter fremden
Namen, für eigene oder fremde Rechnung in einem Geschäftszweig der
Gesellschaft Wettbewerb zu machen oder sich als Mitunternehmer an
einem Konkurrenzunternehmen zu beteiligen („Wettbewerbsverbot“).
Ausgenommen hiervon sind Tätigkeiten für Gesellschaften der
X-Planungs-Firmengruppe. Die Gesellschafterversammlung kann durch
Beschluss Befreiungen und Modifizierungen dieses
Wettbewerbsverbotes zulassen.</w:t>
      </w:r>
    </w:p>
    <w:p>
      <w:pPr>
        <w:numPr>
          <w:ilvl w:val="0"/>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Ausscheidenden Gesellschaftern ist es untersagt, während der
Dauer von 1 Jahr nach ihrem Ausscheiden, als Gesellschafter aus der
Gesellschaft unmittelbar oder mittelbar durch Handeln oder
Unterlassen, Kunden der Gesellschaft abzuwerben („Kundenschutz“).
Diese Pflicht gilt unabhängig von dem Grund des Ausscheidens des
Gesellschafters aus der Gesellschaft. Kunden im Sinne dieser
Regelung sind solche Unternehmen oder Personen, die während der
letzten 2 Jahre – bzw falls der Gesellschaftsführer weniger als 2
Jahre bei der Gesellschaft tätig war, für die Zeit, die der
Geschäftsführer für die Gesellschaft tätig war – vor dem
Ausscheiden des Gesellschafters Geschäftskontakte zu
</w:t>
      </w:r>
    </w:p>
    <w:p>
      <w:pPr>
        <w:numPr>
          <w:ilvl w:val="1"/>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 oder</w:t>
      </w:r>
    </w:p>
    <w:p>
      <w:pPr>
        <w:numPr>
          <w:ilvl w:val="1"/>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Gesellschaften, an denen die Gesellschaft mittelbar oder
unmittelbar beteiligt ist oder innerhalb der letzten 2 Jahre vor
dem Ausscheiden des Gesellschafters beteiligt war, oder</w:t>
      </w:r>
    </w:p>
    <w:p>
      <w:pPr>
        <w:numPr>
          <w:ilvl w:val="1"/>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der Gesellschaft verbundenen Unternehmen iSd § 15
AktG, für die der Gesellschafter in den letzten 2 Jahren vor seinem
Ausscheiden als Geschäftsführer oder im Rahmen eines
Arbeitsverhältnisses tätig war, oder</w:t>
      </w:r>
    </w:p>
    <w:p>
      <w:pPr>
        <w:numPr>
          <w:ilvl w:val="1"/>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der Gesellschaft verbundenen Unternehmen iSd § 15
AktG, an denen der Gesellschafter eine Beteiligung hält oder in den
letzten 2 Jahren vor seinem Ausscheiden hielt, unterhalten haben.
Die Gesellschaft wird mit dem Gesellschafter im Zeitpunkt seines
Ausscheidens aus der Gesellschaft eine Liste mit den Kunden im
Sinne der Punkte (ii)–(iv) dieser Ziffer überreichen. Die
Gesellschafterversammlung kann durch Beschluss die Dauer dieser
Kundenschutzklausel reduzieren, sofern der ausscheidende
Gesellschafter weniger als ein Jahr Gesellschafter der Gesellschaft
gewesen ist.</w:t>
      </w:r>
    </w:p>
    <w:p>
      <w:pPr>
        <w:numPr>
          <w:ilvl w:val="0"/>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Ausscheidenden Gesellschaftern ist es ferner untersagt, während
der Dauer von 6 Monaten nach ihrem Ausscheiden als Gesellschafter
aus der Gesellschaft unmittelbar oder mittelbar Mitarbeiter der
Gesellschaft für eigene oder fremde Zwecke abzuwerben. Diese
Pflicht gilt unabhängig von dem Grund des Ausscheidens des
Gesellschafters aus der Gesellschaft. Mitarbeiter im Sinne dieser
Regelung sind solche Personen, die im Zeitpunkt des Ausscheidens
des Gesellschafters bei der Gesellschaft oder mit der Gesellschaft
verbundenen Unternehmen iSd § 15 AktG angestellt sind
(„Abwerbeverbot“).</w:t>
      </w:r>
    </w:p>
    <w:p>
      <w:pPr>
        <w:numPr>
          <w:ilvl w:val="0"/>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 dem Wettbewerbsverbot der Z 1 unterliegenden
Gesellschafter sind verpflichtet, über sämtliche Angelegenheiten
der Gesellschaft, ihrer persönlich haftenden Gesellschafterin und
ihrer Beteiligungsgesellschaften auch nach ihrem Ausscheiden
strengstes Stillschweigen zu bewahren. Ausgenommen hiervon sind
Mitteilungen an Personen, die kraft Gesetzes zur Verschwiegenheit
verpflichtet sind, soweit dies zur Wahrung eigener berechtigter
Interessen des Gesellschafters erforderlich ist. Diese Pflicht gilt
unabhängig von dem Grund des Ausscheidens des Gesellschafters aus
der Gesellschaft.</w:t>
      </w:r>
    </w:p>
    <w:p>
      <w:pPr>
        <w:numPr>
          <w:ilvl w:val="0"/>
          <w:numId w:val="7178555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jeden Fall eines Verstoßes gegen die aus Z 1, Z 2
und Z 3 folgenden Pflichten durch den Gesellschafter ist der
Gesellschafter verpflichtet, der Gesellschaft eine Vertragsstrafe
in der Höhe von EUR 10.000,– zu zahlen. Jede versuchte oder
erfolgreiche Abwerbung eines Kunden oder eines Mitarbeiters gilt
pro Kunde/Mitarbeiter als gesonderter Verstoß. Im Fall eines
fortgesetzten Verstoßes ist die Vertragsstrafe für jeden
angefangenen Monat, in dem der Verstoß anhält, erneut an die
Gesellschaft zu zahlen. Bei Verwirkung mehrerer Vertragsstrafen ist
der Gesamtbetrag der zu zahlenden Vertragsstrafen auf
EUR 60.000,– begrenzt. Die Zahlung der Vertragsstrafe lässt
die Geltendmachung eines weiteren Schadens unberührt.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7 Gesellschafterversammlung
und Gesellschafterbeschlüsse</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jedem Geschäftsjahr finden in der Regel zwei
Gesellschafterversammlungen statt, und zwar etwa in der Mitte des
Geschäftsjahres und gegen Ende des Geschäftsjahres. Soweit dies im
Interesse der Gesellschaft erforderlich ist oder von einem
Gesellschafter verlangt wird, sind zusätzliche außerordentliche
Gesellschafterversammlungen einzuberufen.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Gesellschafterversammlungen werden durch die persönlich
haftende Gesellschafterin einberufen. Die Einberufung erfolgt durch
eingeschriebenen Brief, Telefax oder E-Mail an jeden Gesellschafter
unter Angabe von Ort, Tag, Zeit und Tagesordnung mit einer Frist
von mindestens zwei Wochen. Der Lauf der Frist beginnt im Fall der
Einladung per Telefax oder E-Mail mit Absendung der Einladung,
ansonsten zwei Tage nach ihrer Absendung. Der Tag der Versendung
und der Tag der Gesellschafterversammlung wird bei der Berechnung
der Frist nicht mitgezählt.</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Gesellschafterversammlungen finden in Wien statt, sofern nicht
alle Gesellschafter mit einem anderen Ort einverstanden sind.</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Gesellschafterversammlungen können ebenso als hybride
Gesellschafterversammlungen abgehalten werden, bei denen jeder
Teilnehmer zwischen einer physischen und einer virtuellen Teilnahme
entscheiden kann. Das einberufende Organ hat allen Teilnehmern den
barrierefreien Zugang zur hybriden Gesellschafterversammlung zu
gewährleisten.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Teilnahmemöglichkeit an der virtuellen
Gesellschafterversammlung mittels einer akustischen und optischen
Zweiweg-Verbindung in Echtzeit muss bestehen. Es muss jedem
Gesellschafter möglich sein, sich zu Wort zu melden, an allen
Abstimmungen teilzunehmen und gegebenenfalls Widerspruch zu
erheben. Wird einem Gesellschafter das Wort erteilt, ist ihm eine
Redemöglichkeit im Weg der Videokommunikation zu gewähren.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allen Abstimmungen können die Gesellschafter ihr Stimmrecht
im Weg elektronischer Kommunikation ausüben und auf diese Weise
gegebenenfalls auch Widerspruch erheben.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der Einberufung der hybriden Gesellschafterversammlung ist
anzugeben, welche organisatorischen und technischen Voraussetzungen
für die Teilnahme an der hybriden Gesellschafterversammlung
bestehen.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 bestimmen, mit Mehrheit der abgegebenen
Stimmen, aus ihrer Mitte den Vorsitzenden, der die
Gesellschafterversammlung leitet, den Ablauf der Versammlung sowie
der Abstimmungen bestimmt und die Beschlussfähigkeit der
Gesellschafterversammlung und die Fassung von
Gesellschafterbeschlüssen feststellt. Er kann zu den
Gesellschafterversammlungen Mitarbeiter der Gesellschaft,
Mitarbeiter von Beteiligungsgesellschaften und sonstige
Sachverständige und Auskunftspersonen hinzuziehen, sofern er deren
Anhörung zur Unterrichtung der Gesellschafter für erforderlich
hält.</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Gesellschafterversammlungen sind nur beschlussfähig, wenn
Gesellschafter anwesend oder vertreten sind, die zusammen
mindestens 50 % des Gesellschaftskapitals halten.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 sollen in der Regel persönlich an
Gesellschafterversammlungen teilnehmen. Die Gesellschafter können
sich durch einen anderen vertreten lassen. Die Vollmacht muss
schriftlich erteilt sein, bei Beginn der Gesellschafterversammlung
vorgelegt werden und verbleibt bei der Gesellschaft.</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Gesellschafterbeschlüsse werden in Gesellschafterversammlungen
gefasst. Außerhalb von Gesellschafterversammlungen können
Beschlüsse auch durch schriftliche, fernschriftliche, per E-Mail
oder mündliche auch fernmündliche Abstimmung oder eine Kombination
der vorgenannten Möglichkeiten, gefasst werden, soweit nicht
zwingendes Recht eine andere Form vorschreibt und sich jeder
Gesellschafter an der Abstimmung beteiligt.</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Gesellschafterbeschlüsse werden mit der Mehrheit der insgesamt
vorhandenen und nicht ausgeschlossenen Stimmen gefasst, soweit
nicht das Gesetz oder der Gesellschaftsvertrag eine größere
Mehrheit vorsehen. Je EUR 50,– einer Kapitaleinlage eines
Gesellschafters gewähren eine Stimme. Stimmenthaltungen gelten als
Nein-Stimmen. Die persönlich haftende Gesellschafterin besitzt
Stimmrechte nur, soweit dies in diesem Gesellschaftsvertrag
ausdrücklich vorgesehen ist. Mit den Stimmen eines Gesellschafters
kann nur einheitlich abgestimmt werden.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 sind stets auch in eigenen Angelegenheiten
stimmberechtigt, soweit dem nicht zwingende gesetzliche
Vorschriften oder dieser Vertrag entgegenstehen.</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Gesellschafterversammlungen und Beschlüsse ist, sofern es
sich nicht um schriftliche, durch die Gesellschafter unterzeichnete
Beschlüsse handelt, jeweils eine Niederschrift anzufertigen, die
vom Vorsitzenden der Gesellschafterversammlung oder der
Geschäftsführung der Gesellschaft unterzeichnet werden muss. In der
Niederschrift sind Tag und Ort der Gesellschafterversammlung, die
Teilnehmer, die Gegenstände der Tagesordnung, eventuelle Anträge
und die Ergebnisse der Abstimmungen aufzunehmen. Jedem
Gesellschafter ist unverzüglich eine Kopie dieser Niederschrift
zuzuleiten, damit der Inhalt gilt als richtig, wenn der
Gesellschafter nicht binnen zwei Wochen nach Empfang gegenüber dem
Vorsitzenden der Gesellschafterversammlung oder gegebenenfalls der
Geschäftsführung der Gesellschaft schriftlich unter Angabe von
Gründen widerspricht.</w:t>
      </w:r>
    </w:p>
    <w:p>
      <w:pPr>
        <w:numPr>
          <w:ilvl w:val="0"/>
          <w:numId w:val="1852093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Unwirksamkeit und die Anfechtbarkeit von
Gesellschafterbeschlüssen kann nur binnen einer Ausschlussfrist von
acht Wochen nach Empfang der Niederschrift über die
Gesellschafterversammlung durch Klage geltend gemacht werden. Nach
Ablauf dieser Frist gilt ein etwaiger Mangel als geheilt.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8 Geschäftsjahr und
Jahresabschluss</w:t>
      </w:r>
    </w:p>
    <w:p>
      <w:pPr>
        <w:numPr>
          <w:ilvl w:val="0"/>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Geschäftsjahr ist mit dem Kalenderjahr identisch.</w:t>
      </w:r>
    </w:p>
    <w:p>
      <w:pPr>
        <w:numPr>
          <w:ilvl w:val="0"/>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persönlich haftende Gesellschafterin hat innerhalb der
gesetzlichen Fristen den Jahresabschluss unter Beachtung der
ertragsteuerlichen Regeln aufzustellen, soweit nicht zwingende
unternehmensrechtliche Bestimmungen etwas anderes bestimmen, und
diesen unverzüglich den Gesellschaftern vorzulegen. Die Vorlage hat
mindestens zwei Wochen vor der ersten ordentlichen
Gesellschafterversammlung nach dem Ende des jeweiligen
Geschäftsjahres zu erfolgen. Die Feststellung des Jahresabschlusses
erfolgt durch Gesellschafterbeschluss.</w:t>
      </w:r>
    </w:p>
    <w:p>
      <w:pPr>
        <w:numPr>
          <w:ilvl w:val="0"/>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Geschäftsführer stellen folgende Unterlagen zur Verfügung:
</w:t>
      </w:r>
    </w:p>
    <w:p>
      <w:pPr>
        <w:numPr>
          <w:ilvl w:val="1"/>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Monatliche Finanz- und Geschäftsinformationen, einschließlich
von Finanzberichten</w:t>
      </w:r>
    </w:p>
    <w:p>
      <w:pPr>
        <w:numPr>
          <w:ilvl w:val="1"/>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Jahresbudget gefolgt von vier (4) vierteljährlichen
Budgetaktualisierungen und</w:t>
      </w:r>
    </w:p>
    <w:p>
      <w:pPr>
        <w:numPr>
          <w:ilvl w:val="1"/>
          <w:numId w:val="48240698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geprüften und testierten Jahresabschluss, spätestens
hundertzwanzig (120) Tage nach Ende des Geschäftsjahres</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9 Gesellschafterkonten</w:t>
      </w:r>
    </w:p>
    <w:p>
      <w:pPr>
        <w:numPr>
          <w:ilvl w:val="0"/>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 § 2 genannten Kapitaleinlagen der Gesellschafter
werden für jeden Gesellschafter auf einem als Kapitalkonto I
bezeichneten Konto verbucht. Diese Konten werden als Festkonten
geführt. Eine Veränderung der Konten bedarf einer Änderung dieses
Gesellschaftsvertrages. Die Beteiligung der Gesellschafter an der
Gesellschaft bemisst sich nach dem Kapitalkonto I.</w:t>
      </w:r>
    </w:p>
    <w:p>
      <w:pPr>
        <w:numPr>
          <w:ilvl w:val="0"/>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Neben dem Kapitalkonto I werden für jeden Gesellschafter ein
Kapitalkonto II, ein Verlustvortragskonto sowie ein Privatkonto
eingerichtet:
</w:t>
      </w:r>
    </w:p>
    <w:p>
      <w:pPr>
        <w:numPr>
          <w:ilvl w:val="1"/>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dem Kapitalkonto II werden die Gewinnanteile verbucht,
soweit sie nach Ausgleich des Verlustvortragskontos auf Beschluss
der Gesellschafterversammlung nicht dem Privatkonto, sondern dem
Kapitalkonto II der Gesellschafter zugeführt werden.</w:t>
      </w:r>
    </w:p>
    <w:p>
      <w:pPr>
        <w:numPr>
          <w:ilvl w:val="1"/>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dem Verlustvortragskonto werden die Verlustanteile
gebucht.</w:t>
      </w:r>
    </w:p>
    <w:p>
      <w:pPr>
        <w:numPr>
          <w:ilvl w:val="1"/>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dem Privatkonto werden die nach Ausgleich des
Verlustvortragskontos zur Ausschüttung gelangenden Gewinne, sowie
der Zahlungsverkehr mit dem Gesellschafter verbucht. Ist das
Privatkonto zum Zeitpunkt des Ausscheidens eines Gesellschafter
negativ, ist es von ihm auszugleichen.</w:t>
      </w:r>
    </w:p>
    <w:p>
      <w:pPr>
        <w:numPr>
          <w:ilvl w:val="0"/>
          <w:numId w:val="1691620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Verzinsung der Konten findet nicht statt.</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10 Gewinn- und
Verlustverteilung, Entnahmen</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persönlich haftenden Gesellschafterin sind alle Auslagen zu
erstatten, die mit der Geschäftsführung zusammenhängen.
Voraussetzung ist jedoch, dass die Verträge/Vereinbarungen zwischen
ihr und ihren Geschäftsführern von der Gesellschafterversammlung
gebilligt worden sind. Daneben erhält die persönlich haftende
Gesellschafterin eine jährlich, jeweils am Ende eines
Geschäftsjahres zu zahlende Haftungsvergütung in Höhe von 6 %
ihres eingezahlten Stammkapitals, das zu Beginn des Geschäftsjahres
in ihrer Bilanz ausgewiesen ist. Die Auslagen und die
Haftungsvergütung der persönlich haftenden Gesellschafterin sowie
etwaige Tätigkeitsvergütungen eines Gesellschafters werden
gewinnmindernd als Aufwand der Gesellschaft behandelt und auch dann
gezahlt, wenn die Gesellschaft in dem Geschäftsjahr einen Verlust
erwirtschaftet hat.</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dem verbleibenden Gewinn sowie an einem etwaigen Verlust des
Geschäftsjahres nehmen die Gesellschafter im Verhältnis ihrer
Kapitalbeteiligung (Kapitalkonto I) teil (Gewinnanteile bzw
Verlustanteile). Die gesetzlichen Vorschriften über die
Haftungsbeschränkung der Kommanditisten bleiben unberührt, die
Kommanditisten sind der persönlich haftenden Gesellschafterin
gegenüber in keinem Fall freistellungspflichtig.</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Verlustanteile eines Geschäftsjahres werden, vorbehaltlich
Z 4, in dem Jahresabschluss dieses Geschäftsjahres auf dem
Verlustvortragskonto gebucht. Soweit das Verlustvortragskonto noch
einen Verlust ausweist, ist dieser zunächst durch spätere
Gewinnanteile auszugleichen. Nach Ausgleich des
Verlustvortragskontos verbleibende Gewinnanteile eines
Geschäftsjahres werden vorbehaltlich Z 4 in dem
Jahresabschluss dieses Geschäftsjahres dem Privatkonto
gutgeschrieben.</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Gesellschafterversammlung kann beschließen, dass die
Gewinnanteile der Gesellschafter vollständig oder teilweise nicht
dem Privatkonto, sondern dem Kapitalkonto II zugeführt werden.
Guthaben auf dem Kapitalkonto II reduzieren sich auf etwaige
zukünftige Verluste. Die Gesellschafterversammlung kann
beschließen, dass Guthaben auf dem Kapitalkonto II auf das
Privatkonto der Gesellschafter umgebucht werden.</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Entnahmen zulasten der Kapitalkonten I und II sind unzulässig.
Guthaben auf den Privatkonten werden in Höhe der gemäß Ziffer 3 und
4 erfolgten Gutschrift innerhalb von zwei Wochen nach Fassung des
Gesellschafterbeschlusses über den Jahresabschluss ausgezahlt.
Darüber hinausgehende Auszahlungen von Guthaben auf dem jeweiligen
Privatkonto erfolgen binnen 4 Wochen nach schriftlicher
Aufforderung durch den betreffenden Gesellschafter an die
Gesellschaft.</w:t>
      </w:r>
    </w:p>
    <w:p>
      <w:pPr>
        <w:numPr>
          <w:ilvl w:val="0"/>
          <w:numId w:val="4013394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Scheidet ein Gesellschafter aus, hat er sein
Verlustvortragskonto einschließlich der auf ihn entfallenden
Verlustanteile des dem Ausscheiden vorangehenden Geschäftsjahres
auszugleichen.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11 Tätigkeitsbeteiligung</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Gesellschafter, die eine natürliche Person sind, können nicht
auf Dauer, sondern nur solange Gesellschafter sein, wie sie
Geschäftsführer der persönlich haftenden Gesellschafterin, der
Gesellschaft oder einer anderen Gesellschaft der X-Planungs-
Firmengruppe bzw der Gesellschaft sind
(Tätigkeitsbeteiligung).</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ein solcher Gesellschafter, gleich aus welchem Grund
(Abberufung, Entziehung, Kündigung, Tod etc) nicht mehr
Geschäftsführer der persönlich haftenden Gesellschafterin, der
Gesellschaft oder einer anderen Gesellschaft der
X-Planungs-Firmengruppe (</w:t>
      </w:r>
      <w:r>
        <w:rPr>
          <w:rFonts w:ascii="Arial" w:hAnsi="Arial" w:eastAsia="Arial" w:cs="Arial"/>
          <w:b/>
          <w:bCs/>
          <w:color w:val="000000"/>
          <w:sz w:val="20"/>
          <w:szCs w:val="20"/>
        </w:rPr>
        <w:t xml:space="preserve">„</w:t>
      </w:r>
      <w:r>
        <w:rPr>
          <w:rFonts w:ascii="Arial" w:hAnsi="Arial" w:eastAsia="Arial" w:cs="Arial"/>
          <w:color w:val="000000"/>
          <w:sz w:val="20"/>
          <w:szCs w:val="20"/>
        </w:rPr>
        <w:t xml:space="preserve">veräußerungspflichtiger
Gesellschafter</w:t>
      </w:r>
      <w:r>
        <w:rPr>
          <w:rFonts w:ascii="Arial" w:hAnsi="Arial" w:eastAsia="Arial" w:cs="Arial"/>
          <w:b/>
          <w:bCs/>
          <w:color w:val="000000"/>
          <w:sz w:val="20"/>
          <w:szCs w:val="20"/>
        </w:rPr>
        <w:t xml:space="preserve">“</w:t>
      </w:r>
      <w:r>
        <w:rPr>
          <w:rFonts w:ascii="Arial" w:hAnsi="Arial" w:eastAsia="Arial" w:cs="Arial"/>
          <w:color w:val="000000"/>
          <w:sz w:val="20"/>
          <w:szCs w:val="20"/>
        </w:rPr>
        <w:t xml:space="preserve">), hat er seinen
Gesellschaftsanteil der Gesellschafterin mit der größten
Beteiligung an der Gesellschaft bzw nach entsprechendem Beschluss
der Gesellschafterversammlung einem Dritten zum Kauf anzubieten.
Der Angebotsempfänger
(</w:t>
      </w:r>
      <w:r>
        <w:rPr>
          <w:rFonts w:ascii="Arial" w:hAnsi="Arial" w:eastAsia="Arial" w:cs="Arial"/>
          <w:b/>
          <w:bCs/>
          <w:color w:val="000000"/>
          <w:sz w:val="20"/>
          <w:szCs w:val="20"/>
        </w:rPr>
        <w:t xml:space="preserve">„</w:t>
      </w:r>
      <w:r>
        <w:rPr>
          <w:rFonts w:ascii="Arial" w:hAnsi="Arial" w:eastAsia="Arial" w:cs="Arial"/>
          <w:color w:val="000000"/>
          <w:sz w:val="20"/>
          <w:szCs w:val="20"/>
        </w:rPr>
        <w:t xml:space="preserve">Erwerber</w:t>
      </w:r>
      <w:r>
        <w:rPr>
          <w:rFonts w:ascii="Arial" w:hAnsi="Arial" w:eastAsia="Arial" w:cs="Arial"/>
          <w:b/>
          <w:bCs/>
          <w:color w:val="000000"/>
          <w:sz w:val="20"/>
          <w:szCs w:val="20"/>
        </w:rPr>
        <w:t xml:space="preserve">“</w:t>
      </w:r>
      <w:r>
        <w:rPr>
          <w:rFonts w:ascii="Arial" w:hAnsi="Arial" w:eastAsia="Arial" w:cs="Arial"/>
          <w:color w:val="000000"/>
          <w:sz w:val="20"/>
          <w:szCs w:val="20"/>
        </w:rPr>
        <w:t xml:space="preserve">) hat das Angebot
innerhalb von drei (3) Monaten nach Zugang anzunehmen.</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Kaufpreis erhält der veräußerungspflichtige Gesellschafter
von dem Erwerber das 2,5-Fache des Durchschnitts der auf den
Gesellschaftsanteil des veräußerungspflichtigen Gesellschafters
entfallenden modifizierten Jahresergebnisse (gemäß nachfolgender
Definition) der letzten drei (3) vor dem Ausscheiden
abgeschlossenen Geschäftsjahre. Die modifizierten Jahresergebnisse
(dh modifizierte Jahresüberschüsse oder modifizierte
Jahresfehlbeträge) sind auf Basis der festgestellten
Handelsbilanzen der Gesellschaft, der jeweiligen Geschäftsjahre,
wie folgt, zu berechnen:
</w:t>
      </w:r>
    </w:p>
    <w:p>
      <w:pPr>
        <w:numPr>
          <w:ilvl w:val="1"/>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Handelsbilanzieller Jahresüberschuss bzw handelsbilanzieller
Jahresfehlbetrag (nach Abzug von Ertragssteuern sowie von
Tätigkeitsvergütungen und etwaigem Unternehmerlohn)</w:t>
      </w:r>
    </w:p>
    <w:p>
      <w:pPr>
        <w:numPr>
          <w:ilvl w:val="1"/>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Zuzüglich/steuerliche Bewertungsdifferenzen</w:t>
      </w:r>
      <w:r>
        <w:rPr>
          <w:rFonts w:ascii="Arial" w:hAnsi="Arial" w:eastAsia="Arial" w:cs="Arial"/>
          <w:color w:val="000000"/>
          <w:sz w:val="20"/>
          <w:szCs w:val="20"/>
        </w:rPr>
        <w:br/>
        <w:t xml:space="preserve">abzüglich</w:t>
      </w:r>
    </w:p>
    <w:p>
      <w:pPr>
        <w:numPr>
          <w:ilvl w:val="1"/>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Zuzüglich nicht berücksichtigte Jahresüberschüsse von
Tochterunternehmen, soweit sie nicht in den drei maßgeblichen
Geschäftsjahren gewinnerhöhend an die Gesellschaft ausgeschüttet
wurden (Thesaurierung bzw Zwangsthesaurierung infolge
Verlustnutzung)</w:t>
      </w:r>
    </w:p>
    <w:p>
      <w:pPr>
        <w:numPr>
          <w:ilvl w:val="1"/>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Abzüglich nicht berücksichtigte Jahresfehlbeträge von
Tochterunternehmen soweit sie nicht in den drei maßgeblichen
Geschäftsjahren bei der Gesellschaft gewinnmindernd berücksichtigt
wurden</w:t>
      </w:r>
    </w:p>
    <w:p>
      <w:pPr>
        <w:numPr>
          <w:ilvl w:val="1"/>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Zuzüglich eventueller Beteiligungsabschreibungen wegen
Verlusten, soweit die den Abschreibungen zugrunde liegenden
Verluste als Jahresfehlbeträge gem Z (4) berücksichtigt wurden
(dh betragsmäßig bis zur Höhe der unter Z [4] berücksichtigten
Verluste)</w:t>
      </w:r>
      <w:r>
        <w:rPr>
          <w:rFonts w:ascii="Arial" w:hAnsi="Arial" w:eastAsia="Arial" w:cs="Arial"/>
          <w:color w:val="000000"/>
          <w:sz w:val="20"/>
          <w:szCs w:val="20"/>
        </w:rPr>
        <w:br/>
        <w:t xml:space="preserve">= „modifiziertes Jahresergebnis“</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Berechnung des Kaufpreises erfolgt durch die X-Planungs
Holding GmbH zum Übertragungsstichtag sobald der Jahresabschluss
der Gesellschaft für das vorangegangene, abgeschlossene
Geschäftsjahr vorliegt. Die Gesellschaft teilt den Kaufpreis für
den zu veräußernden Teilkommanditanteil den Parteien schriftlich,
fernschriftlich oder per E-Mail mit (die
</w:t>
      </w:r>
      <w:r>
        <w:rPr>
          <w:rFonts w:ascii="Arial" w:hAnsi="Arial" w:eastAsia="Arial" w:cs="Arial"/>
          <w:b/>
          <w:bCs/>
          <w:color w:val="000000"/>
          <w:sz w:val="20"/>
          <w:szCs w:val="20"/>
        </w:rPr>
        <w:t xml:space="preserve">„</w:t>
      </w:r>
      <w:r>
        <w:rPr>
          <w:rFonts w:ascii="Arial" w:hAnsi="Arial" w:eastAsia="Arial" w:cs="Arial"/>
          <w:color w:val="000000"/>
          <w:sz w:val="20"/>
          <w:szCs w:val="20"/>
        </w:rPr>
        <w:t xml:space="preserve">Kaufpreismitteilung“).</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der Jahresabschluss für das dem Ausscheiden des
Veräußerungspflichtigen Gesellschafters unmittelbar
vorausgegangenen, abgeschlossenen Geschäftsjahr bereits
festgestellt, ist der gemäß den vorstehenden Regelungen ermittelte
Kaufpreis drei (3) Wochen nach Zugang der Mitteilung des
Kaufpreises an den veräußerungspflichtigen Gesellschafter und den
Erwerber durch die Gesellschaft zur Zahlung fällig.</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der Jahresabschluss für das dem Ausscheiden des
veräußerungspflichtigen Gesellschafters unmittelbar
vorausgegangenen, abgeschlossenen Geschäftsjahr noch nicht
festgestellt, ist zunächst ein vorläufiger Verkaufspreis auf der
Grundlage der festgestellten Handelsbilanzen der beiden
vorausgegangenen, abgeschlossenen Geschäftsjahre und der zum
Zeitpunkt des Ausscheidens für das dem Ausscheiden unmittelbar
vorausgegangenen, abgeschlossenen Geschäftsjahr verfügbaren Daten
zu schätzen. Der vorläufige Verkaufspreis beträgt maximal 80 %
des 2,5-Fachen des Durchschnitts der auf den Teilkommanditanteil
des Veräußerungspflichtigen Gesellschafters entfallenden
modifizierten Jahresergebnisse der letzten zwei (2) vor dem
Ausscheiden festgestellten Jahresabschlüsse („Vorläufiger
Kaufpreis“).</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vorläufige Kaufpreis ist durch die X-Planungs Holding GmbH
zu ermitteln und dem Erwerber und dem veräußerungspflichtigen
Gesellschafter mitzuteilen. Der vorläufige Kaufpreis ist innerhalb
von drei (3) Wochen nach dem Zugang der Mitteilung über die Höhe
des vorläufigen Kaufpreises Zug um Zug gegen Übertragung des
Gesellschaftsanteils durch den veräußernden Gesellschafter zur
Zahlung durch den Erwerber fällig.</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Sobald der Jahresabschluss für das dem Ausscheiden des
Gesellschafters unmittelbar vorausgegangene, abgeschlossene
Geschäftsjahr festgestellt ist, ist der endgültige Kaufpreis zu
ermitteln. Innerhalb von vier (4) Wochen nach Mitteilung des so
ermittelten endgültigen Kaufpreises an den Gesellschafter ist eine
etwaige positive Differenz zum vorläufigen Kaufpreis (dh der
endgültige Kaufpreis ist höher als der vorläufige Kaufpreis) von
dem Erwerber an den ausscheidenden Gesellschafter zu zahlen und
eine etwaige negative Differenz zum vorläufigen Kaufpreis (dh der
endgültige Kaufpreis ist niedriger als der vorläufige Kaufpreis)
von dem ausscheidenden Gesellschafter an den Erwerber des
Gesellschaftsanteils zu zahlen.</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Ist der Durchschnitt der in den letzten drei, vor dem
Ausscheiden, abgeschlossenen Geschäftsjahre aus den
Gesellschaftsanteil des Gesellschafters nach Abzug von Ertragsteuer
sowie von Tätigkeitsvergütungen entfallenden Jahresergebnisse
negativ, beträgt der Kaufpreis EUR 1,– (eins).</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Erwerber ist berechtigt, von dem Kaufpreis einen Betrag in
der Höhe des Verlustvortragskontos (einschließlich der auf dem
Ausscheidenden entfallenden Verlustanteile des dem Ausscheiden
vorangehenden Geschäftsjahres) sowie eines gegebenenfalls negativen
Privatkontos des ausscheidenden Gesellschafters als anteilige
Erfüllung der Kaufpreisschuld direkt an die Gesellschaft als
Ausgleich des Verlustvortragskonto sowie gegebenenfalls des
negativen Privatkontos zu zahlen.</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Erwerber erwirbt den Gesellschaftsanteil des Ausscheidenden
zusammen mit dessen Kapitalkonto I. Ein zum Ablauf des dem
Ausscheiden vorangehenden Geschäftsjahres („Stichtag“) bestehendes
Guthaben auf seinem Kapitalkonto II abzüglich eventueller Beträge
auf seinem Verlustvortragskonto (einschließlich der auf dem
Ausscheidenden entfallenden Verlustanteile das dem Ausscheiden
vorangehenden Geschäftsjahres) sind dem Ausscheidenden von der
Gesellschaft mit Wirkung zum Ausscheidenszeitpunkt auszuzahlen. Ein
zum Stichtag vorhandenes Guthaben auf seinem Privatkonto ist dem
ausscheidenden Gesellschafter auszuzahlen. Der ausscheidende
Gesellschafter nimmt an den Gewinnen und Verlusten der Gesellschaft
des zum Zeitpunkt seines Ausscheidens laufenden Geschäftsjahres
nicht teil.</w:t>
      </w:r>
    </w:p>
    <w:p>
      <w:pPr>
        <w:numPr>
          <w:ilvl w:val="0"/>
          <w:numId w:val="2360935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Findet mit Zustimmung der Gesellschafterversammlung eine
Veräußerung der Tätigkeitsbeteiligung an Dritte statt (§ 12),
steht dem die Tätigkeitsbeteiligung haltenden Gesellschafter von
dem Dritten zu zahlenden Kaufpreis nur der Teil zu, der dem
Kaufpreis gem § 11 Z 3 entspricht. Ein darüber
hinausgehender Kaufpreis ist an die Gesellschafterin mit der
größten Beteiligung zu zahlen.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12 Verfügung über
Gesellschaftsanteile</w:t>
      </w:r>
    </w:p>
    <w:p>
      <w:pPr>
        <w:widowControl w:val="on"/>
        <w:pBdr/>
        <w:spacing w:before="140" w:after="240" w:line="288" w:lineRule="auto"/>
        <w:ind w:left="0" w:right="0"/>
        <w:jc w:val="left"/>
      </w:pPr>
      <w:r>
        <w:rPr>
          <w:rFonts w:ascii="Arial" w:hAnsi="Arial" w:eastAsia="Arial" w:cs="Arial"/>
          <w:color w:val="000000"/>
          <w:sz w:val="20"/>
          <w:szCs w:val="20"/>
        </w:rPr>
        <w:t xml:space="preserve">Das Verfügen über Gesellschaftsanteile, Belastungen des
Gesellschaftsanteils und die Einräumung einer Unterbeteiligung
sowie die Verfügung über einzelne Rechte und Ansprüche aus dem
Gesellschaftsverhältnis sind nur mit Zustimmung der
Gesellschafterversammlung und der persönlich haftenden
Gesellschafterin zulässig. Ausgenommen von den
Verfügungsbeschränkungen nach Satz 1 sind Verfügungen zugunsten
anderer Gesellschafter.</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13 Kündigung, Ausscheiden und
Ausschluss eines Gesellschafters</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Jeder Gesellschafter kann die Gesellschaft unter Einhaltung
einer Frist von zwölf Monaten zum Ende eines Geschäftsjahres
kündigen, erstmals zum … Die Kündigung bedarf der Form eines
eingeschriebenen Briefes mit Rückschein und ist an die persönlich
haftende Gesellschafterin zu richten. Maßgeblich für die
Rechtzeitig der Kündigung ist der Eingang der Kündigungsschreiben.
Mit Wirksamwerden der Kündigung scheidet der Gesellschafter aus der
Gesellschaft aus.</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Ausscheiden eines Gesellschafters wird die Gesellschaft
nicht aufgelöst, sondern von den übrigen Gesellschaftern
fortgesetzt.</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Gesellschafterversammlung kann den Ausschluss eines
Gesellschafters beschließen, wenn
</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das Vermögen des Gesellschafters das Insolvenzverfahren
eröffnet oder die Eröffnung eines solchen Verfahrens mangels Masse
abgewiesen wird;</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der Person des Gesellschafters ein seine Ausschließung
rechtfertigender Grund vorliegt, was insbesondere bei
Vertrauensverlust aufgrund des Verhaltens des Gesellschafters
gegeben ist.</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Gesellschafter, der eine natürliche Person ist, kann durch
Beschluss der Gesellschafterversammlung ausgeschlossen werden, wenn
</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nicht Geschäftsführer der Gesellschaft, der
persönlich haftenden Gesellschafterin der Gesellschaft oder einen
anderen Gesellschaft der X-Planungs-Firmengruppe ist;</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arbeitsunfähig oder sonst gehindert ist,
seinen Verpflichtungen aus dem Anstellungsvertrag mit der
Gesellschaft, der persönlich haftenden Gesellschafterin der
Gesellschaft der X-Planungs-Firmengruppen nachzukommen und die
volle Wiederherstellung einer Einsatzfähigkeit aller Voraussicht
nach auf Dauer, mindestens aber für 18 Monate, ausgeschlossen
ist;</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gleich aus welchem Grund, seinen
wesentlichen Verpflichtungen aus seinem mit der Gesellschaft, der
persönlich haftenden Gesellschafterin der Gesellschaft oder einer
anderen Gesellschaft der X-Planungs-Gruppe abgeschlossenen Dienst-
oder Arbeitsvertrag trotz Abmahnungen wiederholt nicht
nachkommt;</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das 65. Lebensjahr vollendet hat oder</w:t>
      </w:r>
    </w:p>
    <w:p>
      <w:pPr>
        <w:numPr>
          <w:ilvl w:val="1"/>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 verstirbt, soweit der Gesellschafter bzw
seine Erben nicht bereits nach § 14 ausscheiden.</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auszuschließende Gesellschafter hat bei der
Beschlussfassung kein Stimmrecht. Der Beschluss über die
Ausschließung wird mit der Mitteilung an den betroffenen
Gesellschafter durch Übersendung einer Kopie der Niederschrift oder
des schriftlich gefassten Beschlusses wirksam, wozu jeder der
übrigen Gesellschafter berechtigt ist. Der Beschluss ist solange
als wirksam zu behandeln, bis seine Unwirksamkeit rechtskräftig
festgestellt ist. Bei Vorliegen der Voraussetzungen kann der
Ausschluss erfolgen, er muss es aber nicht. Solange die
Voraussetzungen vorliegen, kann der Ausschluss jederzeit
erfolgen.</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Wirksamwerden der Ausschließung scheidet der Gesellschafter
aus der Gesellschaft aus. Sein Gesellschaftsanteil wächst der
Gesellschafterin mit der größten Beteiligung an, die an den
ausgeschiedenen Gesellschafter eine Abfindung gem § 13
Z 8 zu zahlen hat.</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Abweichung von § 13 Z 6 kann die
Gesellschafterversammlung verlangen, dass der ausscheidende
Gesellschafter seinen Anteil an einen Gesellschafter oder an einen
Dritten veräußert. In diesem Fall erhält der ausscheidende
Gesellschafter eine Vergütung, die der Abfindung gem § 13
Z 8 entspricht. Kommt der Gesellschafter dem
Übertragungsverlangen nicht nach, verbleibt es bei der Regelung in
§ 13 Z 5.</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Abfindung, die zugleich als Kompensation für die
Beschränkungen gem § 6 Z 2 und 3 dient, erhält der
ausgeschiedene bzw ausgeschlossene Gesellschafter von der
Gesellschafterin, welcher seinen Gesellschaftsanteil gem § 13
Z 6 anwächst, das 2,5-Fache des Durchschnitts der
modifizierten Jahresergebnisse gem § 11 Z 3 der letzten
drei, vor dem Ausscheiden bzw Ausschluss, abgeschlossenen
Geschäftsjahre, die auf den Gesellschaftsanteil des Gesellschafters
entfallen. Wird der Jahresabschluss für das dem Ausscheiden des
Gesellschafters unmittelbar vorausgehende Geschäftsjahr innerhalb
von fünf Monaten nach Wirksamwerden des Ausscheidens festgestellt,
ist die so ermittelte Abfindung innerhalb von sechs Monaten nach
Wirksamwerden des Ausscheidens zur Zahlung fällig.</w:t>
      </w:r>
      <w:r>
        <w:rPr>
          <w:rFonts w:ascii="Arial" w:hAnsi="Arial" w:eastAsia="Arial" w:cs="Arial"/>
          <w:color w:val="000000"/>
          <w:sz w:val="20"/>
          <w:szCs w:val="20"/>
        </w:rPr>
        <w:br/>
        <w:t xml:space="preserve">Ist der Jahresabschluss für das dem Ausscheiden des Gesellschafters
unmittelbar vorausgehende Geschäftsjahr nicht innerhalb von fünf
Monaten nach Wirksamwerden des Ausscheidens festgestellt, ist
zunächst eine vorläufige Abfindung auf der Grundlage der
festgestellten Handelsbilanz der beiden vorausgegangenen
abgeschlossenen Geschäftsjahre und der verfügbaren Daten für das
dem Ausscheiden unmittelbar vorausgegangene, abgeschlossene
Geschäftsjahr zu schätzen. Die vorläufige Abfindung beträgt maximal
80 % des 2,5-Fachen des Durchschnitts der auf dem
Geschäftsanteil des veräußerungspflichtigen Gesellschafters
entfallenden modifizierten Jahresergebnisse der beiden
vorausgegangenen, abgeschlossenen Geschäftsjahre, für die
festgestellte Handelsbilanzen vorliegen („Vorläufige Abfindung“).
Die vorläufige Abfindung ist innerhalb von sechs Monaten nach
Wirksamwerden des Ausscheidens bzw Ausschlusses zur Zahlung fällig.
Sobald der Jahresabschluss für das dem Ausscheiden bzw Ausschluss
unmittelbar vorausgegangene, abgeschlossene Geschäftsjahr
festgestellt ist, ist die endgültige Abfindung zu ermitteln,
innerhalb von vier Wochen nach Mitteilung der so ermittelten
endgültigen Abfindung an den ausscheidenden Gesellschafter ist eine
etwaige positive Differenz zur Vorläufigen Abfindung an den
ausscheidenden Gesellschafter zu zahlen und eine etwaige negative
Differenz zu vorläufigen Abfindung vom ausscheidenden
Gesellschafter an die Gesellschafterin, welcher sein
Gesellschaftsanteil anwächst, zu zahlen.</w:t>
      </w:r>
      <w:r>
        <w:rPr>
          <w:rFonts w:ascii="Arial" w:hAnsi="Arial" w:eastAsia="Arial" w:cs="Arial"/>
          <w:color w:val="000000"/>
          <w:sz w:val="20"/>
          <w:szCs w:val="20"/>
        </w:rPr>
        <w:br/>
        <w:t xml:space="preserve">Ist der Durchschnitt der in den letzten drei, vor dem Ausscheiden,
abgeschlossenen Geschäftsjahre auf den Gesellschaftsanteil des
Gesellschafters nach Abzug von Ertragssteuer entfallenden
Jahresergebnisse negativ, beträgt die Abfindung EUR 1,–
(eins).</w:t>
      </w:r>
      <w:r>
        <w:rPr>
          <w:rFonts w:ascii="Arial" w:hAnsi="Arial" w:eastAsia="Arial" w:cs="Arial"/>
          <w:color w:val="000000"/>
          <w:sz w:val="20"/>
          <w:szCs w:val="20"/>
        </w:rPr>
        <w:br/>
        <w:t xml:space="preserve">Die Gesellschafterin, welcher der Anteil des Ausscheidenden
anwächst, ist berechtigt, von der Abfindung einen Betrag in der
Höhe des Verlustvortragkontos (einschließlich der auf den
Ausscheidenden entfallenden Verlustanteile des dem Ausscheiden
vorangehenden Geschäftsjahres) sowie eines gegebenenfalls negativen
Privatkontos des ausscheidenden Gesellschafters als anteilige
Erfüllung der Abfindungsschuld direkt an die Gesellschaft als
Ausgleich des Verlustvortragkontos sowie gegebenenfalls des
negativen Privatkontos zu zahlen.</w:t>
      </w:r>
    </w:p>
    <w:p>
      <w:pPr>
        <w:numPr>
          <w:ilvl w:val="0"/>
          <w:numId w:val="475866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Gesellschafterin, der der Geschäftsanteil anwächst, erwirbt
den Gesellschaftsanteil des Ausscheidenden zusammen mit dessen
Kapitalkonto I. Ein zum Ablauf des dem Ausscheiden vorangehenden
Geschäftsjahres („Stichtag“) bestehendes Guthaben auf seinem
Kapitalkonto II abzüglich eventueller Beträge auf seinem
Verlustvortragkonto (einschließlich der auf den Ausscheidenden
entfallenden Verlustanteile des dem Ausscheiden vorangehenden
Geschäftsjahres) sind dem Ausscheidenden von der Gesellschaft mit
der Wirkung zum Ausscheidenszeitpunkt auszuzahlen. Ein zum Stichtag
vorhandenes Guthaben auf seinem Privatkonto ist dem ausscheidenden
Gesellschafter auszuzahlen. Der ausscheidende Gesellschafter nimmt
an den Gewinnen und Verlusten der Gesellschaft des zum Zeitpunkt
seines Ausscheidens laufenden Geschäftsjahres nicht teil.</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14 Erbfolge</w:t>
      </w:r>
    </w:p>
    <w:p>
      <w:pPr>
        <w:widowControl w:val="on"/>
        <w:pBdr/>
        <w:spacing w:before="140" w:after="240" w:line="288" w:lineRule="auto"/>
        <w:ind w:left="0" w:right="0"/>
        <w:jc w:val="left"/>
      </w:pPr>
      <w:r>
        <w:rPr>
          <w:rFonts w:ascii="Arial" w:hAnsi="Arial" w:eastAsia="Arial" w:cs="Arial"/>
          <w:color w:val="000000"/>
          <w:sz w:val="20"/>
          <w:szCs w:val="20"/>
        </w:rPr>
        <w:t xml:space="preserve">Beim Tod eines Gesellschafters, der eine natürliche Person ist,
scheidet der Gesellschafter aus der Gesellschaft aus. Die
Gesellschaft wird nicht aufgelöst, sondern mit den verbleibenden
Gesellschaftern fortgeführt. Der Gesellschaftsanteil des
ausgeschiedenen Gesellschafters wächst der Gesellschafterin mit der
größten Beteiligung an. Der Erbe oder Vermächtnisnehmer des
verstorbenen Gesellschafters erhält von ihr eine Abfindung gem
§ 13 Z 8.</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15 Schlussbestimmungen</w:t>
      </w:r>
    </w:p>
    <w:p>
      <w:pPr>
        <w:numPr>
          <w:ilvl w:val="0"/>
          <w:numId w:val="2993483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Gesellschaftsvertrag gilt ab Eintragung der Gesellschaft
im Firmenbuch.</w:t>
      </w:r>
    </w:p>
    <w:p>
      <w:pPr>
        <w:numPr>
          <w:ilvl w:val="0"/>
          <w:numId w:val="2993483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Gerichtsstand für alle Streitigkeiten aus diesem Vertrag ist
Wien.</w:t>
      </w:r>
    </w:p>
    <w:p>
      <w:pPr>
        <w:numPr>
          <w:ilvl w:val="0"/>
          <w:numId w:val="2993483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Änderungen oder Ergänzungen des Gesellschaftsvertrages
erfolgen, soweit gesetzlich zulässig, durch Beschluss gem
§ 7.</w:t>
      </w:r>
    </w:p>
    <w:p>
      <w:pPr>
        <w:numPr>
          <w:ilvl w:val="0"/>
          <w:numId w:val="2993483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Sollten Bestimmungen dieses Vertrages oder eine künftig in ihn
aufgenommene Bestimmung ganz oder teilweise nicht rechtswirksam
oder nicht durchführbar sein oder ihre Rechtswirksamkeit oder
Durchführbarkeit später verlieren, so soll hiervon die Gültigkeit
der übrigen Bestimmungen dieses Vertrages nicht berührt werden. Das
Gleiche gilt, soweit sich herausstellen sollte, dass der Vertrag
eine Regelungslücke enthält. Anstelle der unwirksamen und
undurchführbaren Bestimmungen oder zur Ausfüllung der Lücke soll
eine angemessene Regelung gelten, die, soweit rechtlich möglich,
dem am nächsten kommt, was die Gesellschafter gewollt haben oder
nach dem Sinn und Zweck des Vertrages gewollt haben würden, sofern
sie bei Abschluss dieses Vertrages oder bei der späteren Aufnahme
einer Bestimmung den Punkt bedacht hätten. Dies gilt auch, wenn die
Unwirksamkeit einer Bestimmung etwa auf einem in dem Vertrag
vorgeschriebenen Maß der Leistung oder Zeit (Frist oder Termin)
beruht; es soll dann ein dem Gewollten möglichst nahe kommendes
rechtliches Maß der Leistung oder Zeit (Frist oder Termin) als
vereinbart gelten.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 Firma, Sitz und Gegenstand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Die Firma muss gem § 18 UGB zur Kennzeichnung des
Unternehmers geeignet sein und Unterscheidungskraft besitzen. Die
Firma darf keine Angaben enthalten, die geeignet sind, über
geschäftliche Verhältnisse, die für die angesprochenen
Verkehrskreise wesentlich sind, irrezuführen.</w:t>
      </w:r>
    </w:p>
    <w:p>
      <w:pPr>
        <w:widowControl w:val="on"/>
        <w:pBdr/>
        <w:spacing w:before="140" w:after="240" w:line="288" w:lineRule="auto"/>
        <w:ind w:left="0" w:right="0"/>
        <w:jc w:val="left"/>
      </w:pPr>
      <w:r>
        <w:rPr>
          <w:rFonts w:ascii="Arial" w:hAnsi="Arial" w:eastAsia="Arial" w:cs="Arial"/>
          <w:color w:val="000000"/>
          <w:sz w:val="20"/>
          <w:szCs w:val="20"/>
        </w:rPr>
        <w:t xml:space="preserve">Unter Kennzeichnungseignung wird die Eignung zur namentlichen
Kennzeichnung eines Unternehmers (Namensfunktion) verstanden. Die
Sachfirma kann den Gegenstand des Unternehmens enthalten; reine
Gattungsbezeichnungen oder Branchenangaben sind mangels
Individualisierungswirkung unzulässig. Es ist erforderlich, dass
das Unternehmen eine individuelle Bezeichnung führt, die sich von
der Gattungsbezeichnung des Gewerbezweiges unterscheidet, um es
hinreichend zu kennzeichnen (RIS-Justiz RS0122494).</w:t>
      </w:r>
    </w:p>
    <w:p>
      <w:pPr>
        <w:widowControl w:val="on"/>
        <w:pBdr/>
        <w:spacing w:before="140" w:after="240" w:line="288" w:lineRule="auto"/>
        <w:ind w:left="0" w:right="0"/>
        <w:jc w:val="left"/>
      </w:pPr>
      <w:r>
        <w:rPr>
          <w:rFonts w:ascii="Arial" w:hAnsi="Arial" w:eastAsia="Arial" w:cs="Arial"/>
          <w:color w:val="000000"/>
          <w:sz w:val="20"/>
          <w:szCs w:val="20"/>
        </w:rPr>
        <w:t xml:space="preserve">Unterscheidungskraft bedeutet, dass die Firma geeignet ist, bei
Lesern und Hörern die Assoziation mit einem ganz bestimmten
Unternehmen unter vielen anderen zu wecken. Sie geht nicht mehr so
weit, dass auch die konkrete Identität eines Unternehmensträgers
aus der Firma abgeleitet sein muss; die Individualisierungseignung
muss vielmehr nur generell und abstrakt gegeben sein. Erst wenn die
abstrakte Individualisierungsfunktion bejaht werden kann, stellt
sich überhaupt die Frage, ob eine Firma konkret mit einer gleichen
oder ähnlichen Firma verwechselt werden und deshalb unzulässig sein
könnte (RIS-Justiz RS0122544).</w:t>
      </w:r>
    </w:p>
    <w:p>
      <w:pPr>
        <w:widowControl w:val="on"/>
        <w:pBdr/>
        <w:spacing w:before="140" w:after="240" w:line="288" w:lineRule="auto"/>
        <w:ind w:left="0" w:right="0"/>
        <w:jc w:val="left"/>
      </w:pPr>
      <w:r>
        <w:rPr>
          <w:rFonts w:ascii="Arial" w:hAnsi="Arial" w:eastAsia="Arial" w:cs="Arial"/>
          <w:color w:val="000000"/>
          <w:sz w:val="20"/>
          <w:szCs w:val="20"/>
        </w:rPr>
        <w:t xml:space="preserve">Es besteht kein Anspruch auf eine bestimmte Schreibweise im
Firmenbuch, etwa auf bestimmte Schriftzüge (RIS-Justiz
RS0122546).</w:t>
      </w:r>
    </w:p>
    <w:p>
      <w:pPr>
        <w:widowControl w:val="on"/>
        <w:pBdr/>
        <w:spacing w:before="140" w:after="240" w:line="288" w:lineRule="auto"/>
        <w:ind w:left="0" w:right="0"/>
        <w:jc w:val="left"/>
      </w:pPr>
      <w:r>
        <w:rPr>
          <w:rFonts w:ascii="Arial" w:hAnsi="Arial" w:eastAsia="Arial" w:cs="Arial"/>
          <w:color w:val="000000"/>
          <w:sz w:val="20"/>
          <w:szCs w:val="20"/>
        </w:rPr>
        <w:t xml:space="preserve">Sitz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Beim Sitz muss es sich um eine politische Gemeinde (zB Wien,
Salzburg, Neusiedl am See, etc) handeln. Davon zu unterscheiden ist
die Geschäftsanschrift, die neben der politischen Gemeinde auch die
Straße und Hausnummer (allenfalls Türnummer) enthält und die nicht
im Gesellschaftsvertrag aufscheint, sondern nur im Firmenbuch.</w:t>
      </w:r>
    </w:p>
    <w:p>
      <w:pPr>
        <w:widowControl w:val="on"/>
        <w:pBdr/>
        <w:spacing w:before="140" w:after="240" w:line="288" w:lineRule="auto"/>
        <w:ind w:left="0" w:right="0"/>
        <w:jc w:val="left"/>
      </w:pPr>
      <w:r>
        <w:rPr>
          <w:rFonts w:ascii="Arial" w:hAnsi="Arial" w:eastAsia="Arial" w:cs="Arial"/>
          <w:color w:val="000000"/>
          <w:sz w:val="20"/>
          <w:szCs w:val="20"/>
        </w:rPr>
        <w:t xml:space="preserve">Unternehmensgegenstand</w:t>
      </w:r>
    </w:p>
    <w:p>
      <w:pPr>
        <w:widowControl w:val="on"/>
        <w:pBdr/>
        <w:spacing w:before="140" w:after="240" w:line="288" w:lineRule="auto"/>
        <w:ind w:left="0" w:right="0"/>
        <w:jc w:val="left"/>
      </w:pPr>
      <w:r>
        <w:rPr>
          <w:rFonts w:ascii="Arial" w:hAnsi="Arial" w:eastAsia="Arial" w:cs="Arial"/>
          <w:color w:val="000000"/>
          <w:sz w:val="20"/>
          <w:szCs w:val="20"/>
        </w:rPr>
        <w:t xml:space="preserve">Der Unternehmensgegenstand beschreibt Bereich und Art der
Tätigkeit, mit der die GmbH ihren Zweck verfolgt. Als
Unternehmensgegenstand kommt jeder gesetzlich zulässige Zweck in
Betracht.</w:t>
      </w:r>
    </w:p>
    <w:p>
      <w:pPr>
        <w:widowControl w:val="on"/>
        <w:pBdr/>
        <w:spacing w:before="140" w:after="240" w:line="288" w:lineRule="auto"/>
        <w:ind w:left="0" w:right="0"/>
        <w:jc w:val="left"/>
      </w:pPr>
      <w:r>
        <w:rPr>
          <w:rFonts w:ascii="Arial" w:hAnsi="Arial" w:eastAsia="Arial" w:cs="Arial"/>
          <w:color w:val="000000"/>
          <w:sz w:val="20"/>
          <w:szCs w:val="20"/>
        </w:rPr>
        <w:t xml:space="preserve">Es ist zu prüfen, ob es sich bei der Tätigkeit um ein freies
oder reglementiertes Gewerbe handelt (zB § 94 Z 74 GewO
bzgl der Unternehmens- und Personalberatung) und welche
Voraussetzungen für die Ausübung zu erfüllen sind.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2 Gesellschaftskapital, Beteiligung und Einlagen</w:t>
      </w:r>
    </w:p>
    <w:p>
      <w:pPr>
        <w:widowControl w:val="on"/>
        <w:pBdr/>
        <w:spacing w:before="140" w:after="240" w:line="288" w:lineRule="auto"/>
        <w:ind w:left="0" w:right="0"/>
        <w:jc w:val="left"/>
      </w:pPr>
      <w:r>
        <w:rPr>
          <w:rFonts w:ascii="Arial" w:hAnsi="Arial" w:eastAsia="Arial" w:cs="Arial"/>
          <w:color w:val="000000"/>
          <w:sz w:val="20"/>
          <w:szCs w:val="20"/>
        </w:rPr>
        <w:t xml:space="preserve">Die Komplementärin einer KG haftet grundsätzlich unbeschränkt,
allerdings handelt es sich hier bei der Komplementärin um eine
GmbH, weshalb sie nur mit ihrem Gesellschaftsvermögen haftet, was
faktisch zu einer Haftungsreduktion führt. Häufig (wie auch in
diesem Fall) fungiert sie als Arbeitsgesellschafterin und übernimmt
meist Verwaltungsfunktionen (zB 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Z Handels OG übernimmt als Kommanditistin eine
Pflichteinlage in Höhe von EUR 10.000, die voll aufgebracht
ist. OGs (wie auch natürliche oder juristische Personen) können als
Kommanditisten fungieren. Die Pflichteinlage bildet die Grundlage
für die Beteiligung am Gesellschaftsvermögen und für die jeweilige
Haftungsbegrenzung der Kommanditistin. Im Außenverhältnis haftet
die Kommanditistin nur in Höhe der im Firmenbuch eingetragenen
Haftsumme. Eine darüber hinausgehende Haftung ist
ausgeschlossen.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4 Geschäftsführung und Vertretung</w:t>
      </w:r>
    </w:p>
    <w:p>
      <w:pPr>
        <w:widowControl w:val="on"/>
        <w:pBdr/>
        <w:spacing w:before="140" w:after="240" w:line="288" w:lineRule="auto"/>
        <w:ind w:left="0" w:right="0"/>
        <w:jc w:val="left"/>
      </w:pPr>
      <w:r>
        <w:rPr>
          <w:rFonts w:ascii="Arial" w:hAnsi="Arial" w:eastAsia="Arial" w:cs="Arial"/>
          <w:color w:val="000000"/>
          <w:sz w:val="20"/>
          <w:szCs w:val="20"/>
        </w:rPr>
        <w:t xml:space="preserve">Bei der GmbH &amp; Co KG erfolgt die faktische Leitung durch die
Geschäftsführer der GmbH, sodass intern das GmbHG maßgeblich ist
(§ 15 GmbHG).</w:t>
      </w:r>
    </w:p>
    <w:p>
      <w:pPr>
        <w:widowControl w:val="on"/>
        <w:pBdr/>
        <w:spacing w:before="140" w:after="240" w:line="288" w:lineRule="auto"/>
        <w:ind w:left="0" w:right="0"/>
        <w:jc w:val="left"/>
      </w:pPr>
      <w:r>
        <w:rPr>
          <w:rFonts w:ascii="Arial" w:hAnsi="Arial" w:eastAsia="Arial" w:cs="Arial"/>
          <w:color w:val="000000"/>
          <w:sz w:val="20"/>
          <w:szCs w:val="20"/>
        </w:rPr>
        <w:t xml:space="preserve">Die Kommanditisten sind von der Führung der Geschäfte der
Gesellschaft gem § 164 UGB ausgeschlossen. Daher führen und
vertreten nur Komplementäre die Gesellschaft.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5 Zustimmungsbedürftige Geschäfte</w:t>
      </w:r>
    </w:p>
    <w:p>
      <w:pPr>
        <w:widowControl w:val="on"/>
        <w:pBdr/>
        <w:spacing w:before="140" w:after="240" w:line="288" w:lineRule="auto"/>
        <w:ind w:left="0" w:right="0"/>
        <w:jc w:val="left"/>
      </w:pPr>
      <w:r>
        <w:rPr>
          <w:rFonts w:ascii="Arial" w:hAnsi="Arial" w:eastAsia="Arial" w:cs="Arial"/>
          <w:color w:val="000000"/>
          <w:sz w:val="20"/>
          <w:szCs w:val="20"/>
        </w:rPr>
        <w:t xml:space="preserve">§ 5 des Gesellschaftsvertrags implementiert eine
gesellschaftsvertragliche Kontrolle der Komplementär-GmbH durch die
Kommanditistin im Innenverhältnis.</w:t>
      </w:r>
    </w:p>
    <w:p>
      <w:pPr>
        <w:widowControl w:val="on"/>
        <w:pBdr/>
        <w:spacing w:before="140" w:after="240" w:line="288" w:lineRule="auto"/>
        <w:ind w:left="0" w:right="0"/>
        <w:jc w:val="left"/>
      </w:pPr>
      <w:r>
        <w:rPr>
          <w:rFonts w:ascii="Arial" w:hAnsi="Arial" w:eastAsia="Arial" w:cs="Arial"/>
          <w:color w:val="000000"/>
          <w:sz w:val="20"/>
          <w:szCs w:val="20"/>
        </w:rPr>
        <w:t xml:space="preserve">Die vorliegende Bestimmung regelt den Katalog
zustimmungsbedürftiger Geschäfte der persönlich haftenden
Gesellschafterin (Komplementär-GmbH) in einer GmbH &amp; Co KG. Sie
konkretisiert damit das Verhältnis zwischen der
geschäftsführungsbefugten Komplementärin und der
Gesellschafterversammlung. Ziel dieser Regelung ist es, eine
Kontrolle der Kommanditisten über außergewöhnliche
Geschäftsführungsmaßnahmen sicherzustellen.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6 Wettbewerbsverbot, Kundenschutz und Abwerbeverbot</w:t>
      </w:r>
    </w:p>
    <w:p>
      <w:pPr>
        <w:widowControl w:val="on"/>
        <w:pBdr/>
        <w:spacing w:before="140" w:after="240" w:line="288" w:lineRule="auto"/>
        <w:ind w:left="0" w:right="0"/>
        <w:jc w:val="left"/>
      </w:pPr>
      <w:r>
        <w:rPr>
          <w:rFonts w:ascii="Arial" w:hAnsi="Arial" w:eastAsia="Arial" w:cs="Arial"/>
          <w:color w:val="000000"/>
          <w:sz w:val="20"/>
          <w:szCs w:val="20"/>
        </w:rPr>
        <w:t xml:space="preserve">Der Oberste Gerichtshof hielt unter Hinweis auf die bisherige
Judikatur und die überwiegende Lehre fest, dass einen
ausgeschiedenen Gesellschafter mangels ausdrücklicher Vereinbarung
die Verpflichtung des § 112 UGB nicht mehr trifft. Diesem
Verbot liegt das für Personengesellschaften wesentliche
Vertrauensverhältnis ihrer Mitglieder zugrunde. Nach dem Ausschluss
eines Gesellschafters kann das erschütterte Vertrauen die
Aufrechterhaltung des Wettbewerbsverbots gegenüber einem ehemaligen
Gesellschafter aber nicht mehr rechtfertigen. Verstößt ein
Gesellschafter gegen das Wettbewerbsverbot, hat die Gesellschaft ua
die Möglichkeit, gegen den Gesellschafter mit Ausschließungsklage
vorgehen. Mangels fortdauernder Treuepflicht eines ehemaligen
Gesellschafters nimmt die Gesellschaft durch die Einbringung einer
Ausschlussklage in Kauf, dass sie gegen den ehemaligen
Gesellschafter für die Zeit nach seinem rechtskräftigen Ausschluss
keine auf die Verletzung des Wettbewerbsverbots gestützten
Ansprüche geltend machen kann. Soll die Gesellschaft vor Wettbewerb
auch nach dem Ausscheiden eines Gesellschafters geschützt werden,
ist das über eine entsprechende vertragliche Vereinbarung möglich.
Darüber hinaus bietet das Lauterkeitsrecht der Gesellschaft
ausreichenden Schutz vor einem unlauteren Wettbewerb (OGH
11.08.2015, 4 Ob 71/15t).</w:t>
      </w:r>
    </w:p>
    <w:p>
      <w:pPr>
        <w:widowControl w:val="on"/>
        <w:pBdr/>
        <w:spacing w:before="140" w:after="240" w:line="288" w:lineRule="auto"/>
        <w:ind w:left="0" w:right="0"/>
        <w:jc w:val="left"/>
      </w:pPr>
      <w:r>
        <w:rPr>
          <w:rFonts w:ascii="Arial" w:hAnsi="Arial" w:eastAsia="Arial" w:cs="Arial"/>
          <w:color w:val="000000"/>
          <w:sz w:val="20"/>
          <w:szCs w:val="20"/>
        </w:rPr>
        <w:t xml:space="preserve">Die Regelung des Wettbewerbsverbotes ist in jeder Richtung der
freien Gestaltung unter den Gesellschaftern überlassen. Es steht
ihnen frei, Vertragsstrafen zu vereinbaren, aber auch, dass solche
nicht von der Gesellschaft, sondern von einem Gesellschafter im
eigenen Namen verlangt werden können (RIS-Justiz RS0061731).</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7 Gesellschafterversammlung und
Gesellschafterbeschlüsse</w:t>
      </w:r>
    </w:p>
    <w:p>
      <w:pPr>
        <w:widowControl w:val="on"/>
        <w:pBdr/>
        <w:spacing w:before="140" w:after="240" w:line="288" w:lineRule="auto"/>
        <w:ind w:left="0" w:right="0"/>
        <w:jc w:val="left"/>
      </w:pPr>
      <w:r>
        <w:rPr>
          <w:rFonts w:ascii="Arial" w:hAnsi="Arial" w:eastAsia="Arial" w:cs="Arial"/>
          <w:color w:val="000000"/>
          <w:sz w:val="20"/>
          <w:szCs w:val="20"/>
        </w:rPr>
        <w:t xml:space="preserve">Hybride Gesellschafterversammlung nach dem Virtuelle
Gesellschafterversammlungen-Gesetz (VirtGesG):</w:t>
      </w:r>
    </w:p>
    <w:p>
      <w:pPr>
        <w:widowControl w:val="on"/>
        <w:pBdr/>
        <w:spacing w:before="140" w:after="240" w:line="288" w:lineRule="auto"/>
        <w:ind w:left="0" w:right="0"/>
        <w:jc w:val="left"/>
      </w:pPr>
      <w:r>
        <w:rPr>
          <w:rFonts w:ascii="Arial" w:hAnsi="Arial" w:eastAsia="Arial" w:cs="Arial"/>
          <w:color w:val="000000"/>
          <w:sz w:val="20"/>
          <w:szCs w:val="20"/>
        </w:rPr>
        <w:t xml:space="preserve">Damit in Zeiten der COVID-19-Pandemie Versammlungen von
Gesellschaftern oder Organmitgliedern auch ohne physische
Anwesenheit der Teilnehmer durchgeführt und Beschlüsse auch auf
andere Weise gefasst werden können, wurde mit § 1
COVID-19-GesG eine zeitlich befristete gesetzliche Grundlage für
„virtuelle Versammlungen“ geschaffen. Die Durchführung von
Gesellschafterversammlungen unter Einsatz technischer
Kommunikationsmittel, insbesondere über eine Videokonferenz, hat
sich in der Praxis bewährt, weshalb danach eine dauerhafte
gesetzliche Grundlage für virtuelle sowie hybride Versammlungen
geschaffen wurde.</w:t>
      </w:r>
    </w:p>
    <w:p>
      <w:pPr>
        <w:widowControl w:val="on"/>
        <w:pBdr/>
        <w:spacing w:before="140" w:after="240" w:line="288" w:lineRule="auto"/>
        <w:ind w:left="0" w:right="0"/>
        <w:jc w:val="left"/>
      </w:pPr>
      <w:r>
        <w:rPr>
          <w:rFonts w:ascii="Arial" w:hAnsi="Arial" w:eastAsia="Arial" w:cs="Arial"/>
          <w:color w:val="000000"/>
          <w:sz w:val="20"/>
          <w:szCs w:val="20"/>
        </w:rPr>
        <w:t xml:space="preserve">Im Unterschied zur Pandemiesituation sollen solche
Gesellschaftersammlungen jedoch nur zulässig sein, wenn dies in
Satzung bzw im Gesellschaftsvertrag vorgesehen ist (271/ME XXVII.
GP).</w:t>
      </w:r>
    </w:p>
    <w:p>
      <w:pPr>
        <w:widowControl w:val="on"/>
        <w:pBdr/>
        <w:spacing w:before="140" w:after="240" w:line="288" w:lineRule="auto"/>
        <w:ind w:left="0" w:right="0"/>
        <w:jc w:val="left"/>
      </w:pPr>
      <w:r>
        <w:rPr>
          <w:rFonts w:ascii="Arial" w:hAnsi="Arial" w:eastAsia="Arial" w:cs="Arial"/>
          <w:color w:val="000000"/>
          <w:sz w:val="20"/>
          <w:szCs w:val="20"/>
        </w:rPr>
        <w:t xml:space="preserve">Eine virtuelle Versammlung ist als einfache virtuelle
Versammlung iSd § 2 VirtGesG durchzuführen. Hat die
Versammlung einen Leiter, so kann im Gesellschaftsvertrag auch
vorgesehen werden, dass stets eine moderierte virtuelle Versammlung
iSd § 3 VirtGesG durchzuführen ist oder dass die Entscheidung,
ob eine einfache oder eine moderierte virtuelle Versammlung
durchgeführt wird, dem einberufenden Organ überlassen wird.</w:t>
      </w:r>
    </w:p>
    <w:p>
      <w:pPr>
        <w:widowControl w:val="on"/>
        <w:pBdr/>
        <w:spacing w:before="140" w:after="240" w:line="288" w:lineRule="auto"/>
        <w:ind w:left="0" w:right="0"/>
        <w:jc w:val="left"/>
      </w:pPr>
      <w:r>
        <w:rPr>
          <w:rFonts w:ascii="Arial" w:hAnsi="Arial" w:eastAsia="Arial" w:cs="Arial"/>
          <w:color w:val="000000"/>
          <w:sz w:val="20"/>
          <w:szCs w:val="20"/>
        </w:rPr>
        <w:t xml:space="preserve">Im Gesellschaftsvertrag kann auch vorgesehen werden, dass stets
eine Versammlung durchzuführen ist, bei der sich die einzelnen
Teilnehmer zwischen einer physischen und einer virtuellen Teilnahme
entscheiden können („hybride Versammlung“) oder dass die
Entscheidung, ob eine hybride Versammlung durchgeführt wird, dem
einberufenden Organ überlassen wird.</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8 Geschäftsjahr und Jahresabschluss</w:t>
      </w:r>
    </w:p>
    <w:p>
      <w:pPr>
        <w:widowControl w:val="on"/>
        <w:pBdr/>
        <w:spacing w:before="140" w:after="240" w:line="288" w:lineRule="auto"/>
        <w:ind w:left="0" w:right="0"/>
        <w:jc w:val="left"/>
      </w:pPr>
      <w:r>
        <w:rPr>
          <w:rFonts w:ascii="Arial" w:hAnsi="Arial" w:eastAsia="Arial" w:cs="Arial"/>
          <w:color w:val="000000"/>
          <w:sz w:val="20"/>
          <w:szCs w:val="20"/>
        </w:rPr>
        <w:t xml:space="preserve">Die Pflicht zur Aufstellung eines Jahresabschlusses für eine
GmbH &amp; Co KG ergibt sich aus § 189 Abs 1 Z 2
lit b UGB. Die detaillierten Rechnungslegungsvorschriften
gehen aus §§ 189 ff UGB hervor. Da die GmbH hier als
Komplementärin fungiert, ist der Geschäftsführer der GmbH für die
Aufstellung des Jahresabschlusses verantwortlich. Dieser ist der
Gesellschaft gegenüber verpflichtet und hat die Geschäfte mit der
Sorgfalt eines ordentlichen Geschäftsmannes zu leiten.</w:t>
      </w:r>
    </w:p>
    <w:p>
      <w:pPr>
        <w:widowControl w:val="on"/>
        <w:pBdr/>
        <w:spacing w:before="140" w:after="240" w:line="288" w:lineRule="auto"/>
        <w:ind w:left="0" w:right="0"/>
        <w:jc w:val="left"/>
      </w:pPr>
      <w:r>
        <w:rPr>
          <w:rFonts w:ascii="Arial" w:hAnsi="Arial" w:eastAsia="Arial" w:cs="Arial"/>
          <w:color w:val="000000"/>
          <w:sz w:val="20"/>
          <w:szCs w:val="20"/>
        </w:rPr>
        <w:t xml:space="preserve">Der Kommanditistin kommt ein Kontrollrecht iSd § 166 UGB
zu.</w:t>
      </w:r>
    </w:p>
    <w:p>
      <w:pPr>
        <w:widowControl w:val="on"/>
        <w:pBdr/>
        <w:spacing w:before="140" w:after="240" w:line="288" w:lineRule="auto"/>
        <w:ind w:left="0" w:right="0"/>
        <w:jc w:val="left"/>
      </w:pPr>
      <w:r>
        <w:rPr>
          <w:rFonts w:ascii="Arial" w:hAnsi="Arial" w:eastAsia="Arial" w:cs="Arial"/>
          <w:color w:val="000000"/>
          <w:sz w:val="20"/>
          <w:szCs w:val="20"/>
        </w:rPr>
        <w:t xml:space="preserve">Einreichung des Jahresabschlusses nach den Vorgaben der
ERV-Novelle 2025:</w:t>
      </w:r>
    </w:p>
    <w:p>
      <w:pPr>
        <w:widowControl w:val="on"/>
        <w:pBdr/>
        <w:spacing w:before="140" w:after="240" w:line="288" w:lineRule="auto"/>
        <w:ind w:left="0" w:right="0"/>
        <w:jc w:val="left"/>
      </w:pPr>
      <w:r>
        <w:rPr>
          <w:rFonts w:ascii="Arial" w:hAnsi="Arial" w:eastAsia="Arial" w:cs="Arial"/>
          <w:color w:val="000000"/>
          <w:sz w:val="20"/>
          <w:szCs w:val="20"/>
        </w:rPr>
        <w:t xml:space="preserve">Mit der ERV-Novelle BGBl II Nr 27/2025 wird ab dem
01.01.2026 FinanzOnline (FON) kein zulässiger Kommunikationsweg mit
dem Firmenbuchgericht mehr sein. Damit können Jahresabschlüsse
(JAb) und andere Unterlagen der Rechnungslegung, die in der neuen
Version der Struktur JAb 4.0 errichtet wurden (das sind im
Wesentlichen alle Unterlagen, die nach dem 31.12.2024 erstellt
werden), nicht mehr über FON eingereicht werden. Unterlagen, die in
einer früheren Version der Struktur aufgestellt wurden (etwa JAb
3.32), können in einem Übergangszeitraum bis 31.12.2025 noch über
FON eingereicht werden.</w:t>
      </w:r>
    </w:p>
    <w:p>
      <w:pPr>
        <w:widowControl w:val="on"/>
        <w:pBdr/>
        <w:spacing w:before="140" w:after="240" w:line="288" w:lineRule="auto"/>
        <w:ind w:left="0" w:right="0"/>
        <w:jc w:val="left"/>
      </w:pPr>
      <w:r>
        <w:rPr>
          <w:rFonts w:ascii="Arial" w:hAnsi="Arial" w:eastAsia="Arial" w:cs="Arial"/>
          <w:color w:val="000000"/>
          <w:sz w:val="20"/>
          <w:szCs w:val="20"/>
        </w:rPr>
        <w:t xml:space="preserve">Die Einreichung der Jahresabschlussunterlagen richtet sich ab
dem 01.01.2026 nach den neuen Vorgaben der ERV-Novelle. Gem
§ 277 Abs 6 UGB sind diese grundsätzlich in
elektronischer Form dem zuständigen Firmenbuchgericht (siehe
§ 120 JN) vorzulegen. Darüber hinaus bestimmt § 12
Abs 2 ERV 2021 in der Fassung BGBl II Nr 27/2025,
dass die Vorlage grundsätzlich in strukturierter Form gemäß der
Schnittstellenbeschreibung (§ 7 ERV 2021) zu erfolgen hat. Die
Möglichkeit der strukturierten Einreichung besteht:</w:t>
      </w:r>
    </w:p>
    <w:p>
      <w:pPr>
        <w:numPr>
          <w:ilvl w:val="0"/>
          <w:numId w:val="9833660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Offenlegung gem § 278 Abs 1 UGB (auch iVm
§ 221 Abs 5 UGB)</w:t>
      </w:r>
    </w:p>
    <w:p>
      <w:pPr>
        <w:numPr>
          <w:ilvl w:val="0"/>
          <w:numId w:val="9833660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Bilanz und die Gewinn- und Verlustrechnung von
Rechtsträgern, die den Regeln des dritten Buches des UGB
unterliegen, es sei denn, die einzureichenden Unterlagen enthalten
Posten, die mithilfe der in der Schnittstellenbeschreibung
enthaltenen Struktur (Taxonomie) nicht abgebildet werden
können</w:t>
      </w:r>
    </w:p>
    <w:p>
      <w:pPr>
        <w:numPr>
          <w:ilvl w:val="0"/>
          <w:numId w:val="9833660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Unterlagen und Berichte, sobald und soweit die Aufstellung
oder Einreichung in strukturierter Form in einem Unionsrechtsakt
angeordnet ist, wie bspw für Jahresfinanzberichte nach § 124
BörseG 2018, BGBl I Nr 107/2017</w:t>
      </w:r>
    </w:p>
    <w:p>
      <w:pPr>
        <w:widowControl w:val="on"/>
        <w:pBdr/>
        <w:spacing w:before="140" w:after="240" w:line="288" w:lineRule="auto"/>
        <w:ind w:left="0" w:right="0"/>
        <w:jc w:val="left"/>
      </w:pPr>
      <w:r>
        <w:rPr>
          <w:rFonts w:ascii="Arial" w:hAnsi="Arial" w:eastAsia="Arial" w:cs="Arial"/>
          <w:color w:val="000000"/>
          <w:sz w:val="20"/>
          <w:szCs w:val="20"/>
        </w:rPr>
        <w:t xml:space="preserve">Wenn eine Übermittlung nicht strukturiert möglich ist, können
die Unterlagen auch als PDF-Anhang oder im Weg eines
Urkundenarchives einer Körperschaft öffentlichen Rechts (§ 91c
GOG) eingebracht werden. Der Grund der Unmöglichkeit ist anlässlich
der Einreichung bekannt zu geben (siehe § 12 Abs 3 ERV
2021).</w:t>
      </w:r>
    </w:p>
    <w:p>
      <w:pPr>
        <w:widowControl w:val="on"/>
        <w:pBdr/>
        <w:spacing w:before="140" w:after="240" w:line="288" w:lineRule="auto"/>
        <w:ind w:left="0" w:right="0"/>
        <w:jc w:val="left"/>
      </w:pPr>
      <w:r>
        <w:rPr>
          <w:rFonts w:ascii="Arial" w:hAnsi="Arial" w:eastAsia="Arial" w:cs="Arial"/>
          <w:color w:val="000000"/>
          <w:sz w:val="20"/>
          <w:szCs w:val="20"/>
        </w:rPr>
        <w:t xml:space="preserve">Werden Unterlagen nach den §§ 277 bis 281 UGB zur
Verbesserung zurückgestellt, so sind sie gem § 12 Abs 5
ERV 2021 idF BGBl II Nr 27/2025 bei Wiedervorlage in
verbesserter Form zur Gänze neu einzureichen.</w:t>
      </w:r>
    </w:p>
    <w:p>
      <w:pPr>
        <w:widowControl w:val="on"/>
        <w:pBdr/>
        <w:spacing w:before="140" w:after="240" w:line="288" w:lineRule="auto"/>
        <w:ind w:left="0" w:right="0"/>
        <w:jc w:val="left"/>
      </w:pPr>
      <w:r>
        <w:rPr>
          <w:rFonts w:ascii="Arial" w:hAnsi="Arial" w:eastAsia="Arial" w:cs="Arial"/>
          <w:color w:val="000000"/>
          <w:sz w:val="20"/>
          <w:szCs w:val="20"/>
        </w:rPr>
        <w:t xml:space="preserve">Übergangsregelung für den Jahresabschluss für kleine GmbH sowie
kleine kapitalistische Personengesellschaften in der Version 3.32
bis 31.12.2025:</w:t>
      </w:r>
    </w:p>
    <w:p>
      <w:pPr>
        <w:widowControl w:val="on"/>
        <w:pBdr/>
        <w:spacing w:before="140" w:after="240" w:line="288" w:lineRule="auto"/>
        <w:ind w:left="0" w:right="0"/>
        <w:jc w:val="left"/>
      </w:pPr>
      <w:r>
        <w:rPr>
          <w:rFonts w:ascii="Arial" w:hAnsi="Arial" w:eastAsia="Arial" w:cs="Arial"/>
          <w:color w:val="000000"/>
          <w:sz w:val="20"/>
          <w:szCs w:val="20"/>
        </w:rPr>
        <w:t xml:space="preserve">Bis 31.12.2025 gilt das „alte“ Formular in der Version 3.32 und
kann der Jahresabschluss letztmalig über FON eingereicht werden.
Parallel wird bereits ab 01.03.2025 ein neues Formular in der
Version 4.0 zur Verfügung gestellt, wobei dieses nicht für FON
gilt. Über dieses Formular können die Formblatt-Daten direkt ans
Firmenbuchgericht gesendet werden.</w:t>
      </w:r>
    </w:p>
    <w:p>
      <w:pPr>
        <w:widowControl w:val="on"/>
        <w:pBdr/>
        <w:spacing w:before="140" w:after="240" w:line="288" w:lineRule="auto"/>
        <w:ind w:left="0" w:right="0"/>
        <w:jc w:val="left"/>
      </w:pPr>
      <w:r>
        <w:rPr>
          <w:rFonts w:ascii="Arial" w:hAnsi="Arial" w:eastAsia="Arial" w:cs="Arial"/>
          <w:color w:val="000000"/>
          <w:sz w:val="20"/>
          <w:szCs w:val="20"/>
        </w:rPr>
        <w:t xml:space="preserve">Ab 01.01.2026 gibt es weder das „alte“ Formular in der Version
3.32 noch die Möglichkeit der Übermittlung von Jahresabschluss über
FON.</w:t>
      </w:r>
    </w:p>
    <w:p>
      <w:pPr>
        <w:widowControl w:val="on"/>
        <w:pBdr/>
        <w:spacing w:before="140" w:after="240" w:line="288" w:lineRule="auto"/>
        <w:ind w:left="0" w:right="0"/>
        <w:jc w:val="left"/>
      </w:pPr>
      <w:r>
        <w:rPr>
          <w:rFonts w:ascii="Arial" w:hAnsi="Arial" w:eastAsia="Arial" w:cs="Arial"/>
          <w:color w:val="000000"/>
          <w:sz w:val="20"/>
          <w:szCs w:val="20"/>
        </w:rPr>
        <w:t xml:space="preserve">Es wird empfohlen, bereits ab dem 01.03.2025 auf das neue
Formular in der Version 4.0 umzusteigen und die neue Möglichkeit
zur elektronischen Einreichung zu nutzen.</w:t>
      </w:r>
    </w:p>
    <w:p>
      <w:pPr>
        <w:widowControl w:val="on"/>
        <w:pBdr/>
        <w:spacing w:before="140" w:after="240" w:line="288" w:lineRule="auto"/>
        <w:ind w:left="0" w:right="0"/>
        <w:jc w:val="left"/>
      </w:pPr>
      <w:r>
        <w:rPr>
          <w:rFonts w:ascii="Arial" w:hAnsi="Arial" w:eastAsia="Arial" w:cs="Arial"/>
          <w:color w:val="000000"/>
          <w:sz w:val="20"/>
          <w:szCs w:val="20"/>
        </w:rPr>
        <w:t xml:space="preserve">Jahresabschluss für kleine GmbH sowie kleine kapitalistische
Personengesellschaften in der Version 4.0 ab 01.01.2026:</w:t>
      </w:r>
    </w:p>
    <w:p>
      <w:pPr>
        <w:widowControl w:val="on"/>
        <w:pBdr/>
        <w:spacing w:before="140" w:after="240" w:line="288" w:lineRule="auto"/>
        <w:ind w:left="0" w:right="0"/>
        <w:jc w:val="left"/>
      </w:pPr>
      <w:r>
        <w:rPr>
          <w:rFonts w:ascii="Arial" w:hAnsi="Arial" w:eastAsia="Arial" w:cs="Arial"/>
          <w:color w:val="000000"/>
          <w:sz w:val="20"/>
          <w:szCs w:val="20"/>
        </w:rPr>
        <w:t xml:space="preserve">Es gibt ein neues Formular, mit dem der Jahresabschluss beim
Firmenbuchgericht eingereicht werden kann. Die Einreichung ist
unter Verwendung des Elektronischen Identitätsnachweises – E-ID
(§§ 4 ff E-GovG) oder über USP möglich. Mit diesem Formular
kann man die Formblatt-Daten manuell eingeben.</w:t>
      </w:r>
    </w:p>
    <w:p>
      <w:pPr>
        <w:widowControl w:val="on"/>
        <w:pBdr/>
        <w:spacing w:before="140" w:after="240" w:line="288" w:lineRule="auto"/>
        <w:ind w:left="0" w:right="0"/>
        <w:jc w:val="left"/>
      </w:pPr>
      <w:r>
        <w:rPr>
          <w:rFonts w:ascii="Arial" w:hAnsi="Arial" w:eastAsia="Arial" w:cs="Arial"/>
          <w:color w:val="000000"/>
          <w:sz w:val="20"/>
          <w:szCs w:val="20"/>
        </w:rPr>
        <w:t xml:space="preserve">Mit dem neuen Formular können die Formblatt-Daten weiterhin
manuell eingegeben werden. Im Unterschied zum bisherigen Verfahren
ist es jedoch nicht mehr erforderlich, die generierten Daten in FON
einzubringen. Stattdessen werden die eingegebenen Formblatt-Daten
nach Abschluss der Eingabe durch Betätigung der Schaltfläche
„Senden“ direkt in strukturierter Form gemäß Version 4.0 an das
zuständige Firmenbuchgericht übermittelt. Im Anschluss an die
Übermittlung wird dem Einreicher eine Eingangsbestätigung per
E-Mail zugesandt.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9 Gesellschafterkonten</w:t>
      </w:r>
    </w:p>
    <w:p>
      <w:pPr>
        <w:widowControl w:val="on"/>
        <w:pBdr/>
        <w:spacing w:before="140" w:after="240" w:line="288" w:lineRule="auto"/>
        <w:ind w:left="0" w:right="0"/>
        <w:jc w:val="left"/>
      </w:pPr>
      <w:r>
        <w:rPr>
          <w:rFonts w:ascii="Arial" w:hAnsi="Arial" w:eastAsia="Arial" w:cs="Arial"/>
          <w:color w:val="000000"/>
          <w:sz w:val="20"/>
          <w:szCs w:val="20"/>
        </w:rPr>
        <w:t xml:space="preserve">Das Kapitalkonto I stellt das Festkapital des Gesellschafters
dar, das zugleich die Grundlage seiner Beteiligungsquote und damit
seines Stimmrechts, Gewinn- und Verlustanteils sowie
Liquidationserlöses bildet. Gemäß der Bestimmung handelt es sich um
ein Festkonto, dessen Veränderung eine Änderung des
Gesellschaftsvertrags erfordert.</w:t>
      </w:r>
    </w:p>
    <w:p>
      <w:pPr>
        <w:widowControl w:val="on"/>
        <w:pBdr/>
        <w:spacing w:before="140" w:after="240" w:line="288" w:lineRule="auto"/>
        <w:ind w:left="0" w:right="0"/>
        <w:jc w:val="left"/>
      </w:pPr>
      <w:r>
        <w:rPr>
          <w:rFonts w:ascii="Arial" w:hAnsi="Arial" w:eastAsia="Arial" w:cs="Arial"/>
          <w:color w:val="000000"/>
          <w:sz w:val="20"/>
          <w:szCs w:val="20"/>
        </w:rPr>
        <w:t xml:space="preserve">Das Kapitalkonto II dient der Thesaurierung nicht
ausgeschütteter Gewinne, soweit die Gesellschafterversammlung
beschließt, diese nicht dem Privatkonto gutzuschreiben. Es handelt
sich um Eigenkapital mit Beteiligungscharakter, das im Unterschied
zum Kapitalkonto I variabel geführt wird.</w:t>
      </w:r>
    </w:p>
    <w:p>
      <w:pPr>
        <w:widowControl w:val="on"/>
        <w:pBdr/>
        <w:spacing w:before="140" w:after="240" w:line="288" w:lineRule="auto"/>
        <w:ind w:left="0" w:right="0"/>
        <w:jc w:val="left"/>
      </w:pPr>
      <w:r>
        <w:rPr>
          <w:rFonts w:ascii="Arial" w:hAnsi="Arial" w:eastAsia="Arial" w:cs="Arial"/>
          <w:color w:val="000000"/>
          <w:sz w:val="20"/>
          <w:szCs w:val="20"/>
        </w:rPr>
        <w:t xml:space="preserve">Das Verlustvortragskonto dient der periodenübergreifenden
Verrechnung von Verlustanteilen, die mit späteren Gewinnen
auszugleichen sind, bevor eine Ausschüttung an die Gesellschafter
erfolgen darf. Diese Systematik entspricht dem Grundsatz des
§ 167 UGB, wonach Verluste in den Folgejahren mit Gewinnen zu
verrechnen sind. Erst nach Ausgleich des Verlustvortrags ist ein
Gewinnanteil ausschüttungsfähig.</w:t>
      </w:r>
    </w:p>
    <w:p>
      <w:pPr>
        <w:widowControl w:val="on"/>
        <w:pBdr/>
        <w:spacing w:before="140" w:after="240" w:line="288" w:lineRule="auto"/>
        <w:ind w:left="0" w:right="0"/>
        <w:jc w:val="left"/>
      </w:pPr>
      <w:r>
        <w:rPr>
          <w:rFonts w:ascii="Arial" w:hAnsi="Arial" w:eastAsia="Arial" w:cs="Arial"/>
          <w:color w:val="000000"/>
          <w:sz w:val="20"/>
          <w:szCs w:val="20"/>
        </w:rPr>
        <w:t xml:space="preserve">Das Privatkonto fungiert als Verrechnungskonto zwischen
Gesellschafter und Gesellschaft und dient der Erfassung von
Ausschüttungen, Entnahmen und sonstigen gegenseitigen
Forderungen.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10 Gewinn- und Verlustverteilung, Entnahmen</w:t>
      </w:r>
    </w:p>
    <w:p>
      <w:pPr>
        <w:widowControl w:val="on"/>
        <w:pBdr/>
        <w:spacing w:before="140" w:after="240" w:line="288" w:lineRule="auto"/>
        <w:ind w:left="0" w:right="0"/>
        <w:jc w:val="left"/>
      </w:pPr>
      <w:r>
        <w:rPr>
          <w:rFonts w:ascii="Arial" w:hAnsi="Arial" w:eastAsia="Arial" w:cs="Arial"/>
          <w:color w:val="000000"/>
          <w:sz w:val="20"/>
          <w:szCs w:val="20"/>
        </w:rPr>
        <w:t xml:space="preserve">Das Risiko, dass der Komplementär seine „Existenz aufs Spiel
setzt“ (vgl </w:t>
      </w:r>
      <w:r>
        <w:rPr>
          <w:rFonts w:ascii="Arial" w:hAnsi="Arial" w:eastAsia="Arial" w:cs="Arial"/>
          <w:i/>
          <w:iCs/>
          <w:color w:val="000000"/>
          <w:sz w:val="20"/>
          <w:szCs w:val="20"/>
        </w:rPr>
        <w:t xml:space="preserve">Reidlinger</w:t>
      </w:r>
      <w:r>
        <w:rPr>
          <w:rFonts w:ascii="Arial" w:hAnsi="Arial" w:eastAsia="Arial" w:cs="Arial"/>
          <w:color w:val="000000"/>
          <w:sz w:val="20"/>
          <w:szCs w:val="20"/>
        </w:rPr>
        <w:t xml:space="preserve">, aaO), ist durch ein
Haftungsentgelt (im Sinne eines Vorausgewinns bzw
Sondergewinnanteils) abzugelten. Wenn die GmbH als Komplementärin
kein Vermögen in die KG eingebracht hat, ergibt sich die
Beteiligung abgesehen von der hier nicht strittigen
Geschäftsführung nur aus der Übernahme der unbeschränkten Haftung.
Diese Haftung ist fremdüblich durch ein Haftungsentgelt abzugelten.
Eine „Verzinsung“ eines „eingesetzten Kapitals“ hat aber in diesem
Fall nicht zu erfolgen, da die GmbH mangels Einlage auch kein
Kapital „eingesetzt“ (an die KG zur Nutzung überlassen) hat. Es
steht ihr vielmehr frei, ihr Vermögen selbst zu nutzen (etwa durch
die zinsbringende Anschaffung von Anleihen) und damit eine
Verzinsung dieses Vermögens außerhalb der Beteiligung an der KG zu
erzielen (VwGH 17.12.2014, Zl 2010/13/0115).</w:t>
      </w:r>
    </w:p>
    <w:p>
      <w:pPr>
        <w:widowControl w:val="on"/>
        <w:pBdr/>
        <w:spacing w:before="140" w:after="240" w:line="288" w:lineRule="auto"/>
        <w:ind w:left="0" w:right="0"/>
        <w:jc w:val="left"/>
      </w:pPr>
      <w:r>
        <w:rPr>
          <w:rFonts w:ascii="Arial" w:hAnsi="Arial" w:eastAsia="Arial" w:cs="Arial"/>
          <w:color w:val="000000"/>
          <w:sz w:val="20"/>
          <w:szCs w:val="20"/>
        </w:rPr>
        <w:t xml:space="preserve">Einer GmbH als einziger Komplementärin ohne Kapitalanteil einer
(personengleichen und typischen) GmbH &amp; Co KG ist als Abgeltung
ihres Haftungsrisikos als für die Verbindlichkeiten der GmbH &amp;
Co KG unbeschränkt Haftungspflichtige eine Haftungsentschädigung zu
gewähren. Wurde im Rahmen der Gewinnverteilung ursprünglich diese
Haftungsentschädigung auf Basis des betriebswirtschaftlichen
Eigenkapitals der GmbH zutreffend ermittelt, so hält eine in einem
späteren Jahr (dem Beschwerdejahr) durch Gesellschafterbeschluss
ohne nachvollziehbare Begründung auf einen Bruchteil vorgenommene
Reduzierung der Haftungsentschädigung einem Fremdvergleich nicht
stand. Das Finanzamt hat daher zu Recht die Differenz als verdeckte
Ausschüttung der GmbH an deren Gesellschafter, die zugleich
Kommanditisten der GmbH &amp; Co KG sind, gewertet. Die
Heranziehung der GmbH als ausschüttende Gesellschaft und somit als
Haftende für die Einbehaltung und Abfuhr der auf die verdeckte
Ausschüttung entfallende Kapitalertragsteuer entspricht dem Gesetz
(vgl VwGH vom 28.05.2015, Ro 2014/15/0046) (BFG 11.03.2016,
RV/5101439/2009).</w:t>
      </w:r>
    </w:p>
    <w:p>
      <w:pPr>
        <w:widowControl w:val="on"/>
        <w:pBdr/>
        <w:spacing w:before="140" w:after="240" w:line="288" w:lineRule="auto"/>
        <w:ind w:left="0" w:right="0"/>
        <w:jc w:val="left"/>
      </w:pPr>
      <w:r>
        <w:rPr>
          <w:rFonts w:ascii="Arial" w:hAnsi="Arial" w:eastAsia="Arial" w:cs="Arial"/>
          <w:color w:val="000000"/>
          <w:sz w:val="20"/>
          <w:szCs w:val="20"/>
        </w:rPr>
        <w:t xml:space="preserve">Ist bei einer Kommanditgesellschaft kein unbeschränkt haftender
Gesellschafter eine natürliche Person, so sind die Vorschriften
über das Verbot der Einlagenrückgewähr gem § 82 Abs 1 und
§ 83 Abs 1 GmbHG auf die Kommanditgesellschaft im
Verhältnis zu ihren Kommanditisten analog anzuwenden. Der
Rückersatzanspruch gem § 83 Abs 1 GmbHG steht dabei der
Kommanditgesellschaft zu (RIS-Justiz RS0123863).</w:t>
      </w:r>
    </w:p>
    <w:p>
      <w:pPr>
        <w:widowControl w:val="on"/>
        <w:pBdr/>
        <w:spacing w:before="140" w:after="240" w:line="288" w:lineRule="auto"/>
        <w:ind w:left="0" w:right="0"/>
        <w:jc w:val="left"/>
      </w:pPr>
      <w:r>
        <w:rPr>
          <w:rFonts w:ascii="Arial" w:hAnsi="Arial" w:eastAsia="Arial" w:cs="Arial"/>
          <w:color w:val="000000"/>
          <w:sz w:val="20"/>
          <w:szCs w:val="20"/>
        </w:rPr>
        <w:t xml:space="preserve">Bei einem Verstoß gegen das Verbot der Einlagenrückgewähr
fordert eine Abwägung der Interessen des Kreditgebers einerseits
und der durch die verbotene Einlagenrückgewähr geschädigten
Gesellschaft und ihrer Gläubiger andererseits, das
Leistungsverweigerungsrecht gegenüber dem Kreditgeber nicht nur auf
Kollusion zu beschränken. Die Interessen der Gesellschaft und ihrer
Gläubiger müssen jedenfalls auch den Interessen jenes Kreditgebers
vorgehen, der weiß, dass er den Kredit einem (mittelbaren)
Gesellschafter gewährt, der damit den Anteilskauf finanziert, und
dass die Sicherheit am Gesellschaftsvermögen bestellt wird. Das
Gleiche muss auch für jenen Kreditgeber gelten, dem sich dieses
Wissen „geradezu aufdrängen“ muss, dessen Unkenntnis demnach auf
grober Fahrlässigkeit beruht (RIS-Justiz RS0105537).</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11 Tätigkeitsbeteiligung</w:t>
      </w:r>
    </w:p>
    <w:p>
      <w:pPr>
        <w:widowControl w:val="on"/>
        <w:pBdr/>
        <w:spacing w:before="140" w:after="240" w:line="288" w:lineRule="auto"/>
        <w:ind w:left="0" w:right="0"/>
        <w:jc w:val="left"/>
      </w:pPr>
      <w:r>
        <w:rPr>
          <w:rFonts w:ascii="Arial" w:hAnsi="Arial" w:eastAsia="Arial" w:cs="Arial"/>
          <w:color w:val="000000"/>
          <w:sz w:val="20"/>
          <w:szCs w:val="20"/>
        </w:rPr>
        <w:t xml:space="preserve">Nach § 137 Abs 2 UGB ist dem ausscheidenden
Gesellschafter einer Personengesellschaft in Geld auszuzahlen, was
er bei der Auseinandersetzung erhielte, wenn die Gesellschaft zur
Zeit seines Ausscheidens aufgelöst worden wäre. Sein
Geschäftsanteil geht unter und an die Stelle des Kapitalanteils
tritt die Abfindungsverpflichtung der Gesellschaft
(</w:t>
      </w:r>
      <w:r>
        <w:rPr>
          <w:rFonts w:ascii="Arial" w:hAnsi="Arial" w:eastAsia="Arial" w:cs="Arial"/>
          <w:i/>
          <w:iCs/>
          <w:color w:val="000000"/>
          <w:sz w:val="20"/>
          <w:szCs w:val="20"/>
        </w:rPr>
        <w:t xml:space="preserve">Koppensteiner/Auer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Straube/Ratka/Rauter</w:t>
      </w:r>
      <w:r>
        <w:rPr>
          <w:rFonts w:ascii="Arial" w:hAnsi="Arial" w:eastAsia="Arial" w:cs="Arial"/>
          <w:color w:val="000000"/>
          <w:sz w:val="20"/>
          <w:szCs w:val="20"/>
        </w:rPr>
        <w:t xml:space="preserve">, UGB
I</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[2009] §§ 137, 138 Rz 5). Der Anspruch ist
gegen die Gesellschaft gerichtet, wobei die verbleibenden
Gesellschafter dem Konzept der Personengesellschaft entsprechend
mit der Gesellschaft solidarisch haften (RIS-Justiz RS0061822). Der
Anspruch entsteht im Zeitpunkt des Ausscheidens des Gesellschafters
aus der Gesellschaft (RIS-Justiz RS0061822 [T4]), das ist bei der
Kündigung der Zugang der Austrittserklärung bei den
Mitgesellschaftern (</w:t>
      </w:r>
      <w:r>
        <w:rPr>
          <w:rFonts w:ascii="Arial" w:hAnsi="Arial" w:eastAsia="Arial" w:cs="Arial"/>
          <w:i/>
          <w:iCs/>
          <w:color w:val="000000"/>
          <w:sz w:val="20"/>
          <w:szCs w:val="20"/>
        </w:rPr>
        <w:t xml:space="preserve">Zollner/Hartlieb</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Zib/Dellinger</w:t>
      </w:r>
      <w:r>
        <w:rPr>
          <w:rFonts w:ascii="Arial" w:hAnsi="Arial" w:eastAsia="Arial" w:cs="Arial"/>
          <w:color w:val="000000"/>
          <w:sz w:val="20"/>
          <w:szCs w:val="20"/>
        </w:rPr>
        <w:t xml:space="preserve">, UGB [2017] § 137 Rz 33). Dem
Abfindungsanspruch liegt die Zielsetzung zugrunde, dem
ausscheidenden Gesellschafter möglichst dieselbe Rechtsposition zu
verschaffen, die er hätte, wenn die Gesellschaft liquidiert würde
(vgl RIS-Justiz RS0061746; </w:t>
      </w:r>
      <w:r>
        <w:rPr>
          <w:rFonts w:ascii="Arial" w:hAnsi="Arial" w:eastAsia="Arial" w:cs="Arial"/>
          <w:i/>
          <w:iCs/>
          <w:color w:val="000000"/>
          <w:sz w:val="20"/>
          <w:szCs w:val="20"/>
        </w:rPr>
        <w:t xml:space="preserve">Koppensteiner/Auer</w:t>
      </w:r>
      <w:r>
        <w:rPr>
          <w:rFonts w:ascii="Arial" w:hAnsi="Arial" w:eastAsia="Arial" w:cs="Arial"/>
          <w:color w:val="000000"/>
          <w:sz w:val="20"/>
          <w:szCs w:val="20"/>
        </w:rPr>
        <w:t xml:space="preserve"> aaO,
Rz 2; </w:t>
      </w:r>
      <w:r>
        <w:rPr>
          <w:rFonts w:ascii="Arial" w:hAnsi="Arial" w:eastAsia="Arial" w:cs="Arial"/>
          <w:i/>
          <w:iCs/>
          <w:color w:val="000000"/>
          <w:sz w:val="20"/>
          <w:szCs w:val="20"/>
        </w:rPr>
        <w:t xml:space="preserve">Jabornegg/Artmann</w:t>
      </w:r>
      <w:r>
        <w:rPr>
          <w:rFonts w:ascii="Arial" w:hAnsi="Arial" w:eastAsia="Arial" w:cs="Arial"/>
          <w:color w:val="000000"/>
          <w:sz w:val="20"/>
          <w:szCs w:val="20"/>
        </w:rPr>
        <w:t xml:space="preserve">, UGB² [2010] § 137
Rz 5). Die gesetzlichen Regelungen über die Auseinandersetzung
sind aber grundsätzlich dispositiv (vgl RIS-Justiz RS0061758).</w:t>
      </w:r>
    </w:p>
    <w:p>
      <w:pPr>
        <w:widowControl w:val="on"/>
        <w:pBdr/>
        <w:spacing w:before="140" w:after="240" w:line="288" w:lineRule="auto"/>
        <w:ind w:left="0" w:right="0"/>
        <w:jc w:val="left"/>
      </w:pPr>
      <w:r>
        <w:rPr>
          <w:rFonts w:ascii="Arial" w:hAnsi="Arial" w:eastAsia="Arial" w:cs="Arial"/>
          <w:color w:val="000000"/>
          <w:sz w:val="20"/>
          <w:szCs w:val="20"/>
        </w:rPr>
        <w:t xml:space="preserve">Die im Wesentlichen übereinstimmenden Meinungen in der Literatur
gehen davon aus, dass Abfindungsansprüche eines ausscheidenden
Gesellschafters einer GmbH &amp; Co KG durch alineare
Gewinnausschüttungen oder Kapitalherabsetzungen in analoger
Anwendung der §§ 54 ff GmbHG von der Gesellschaft befriedigt
werden können. Die Einhaltung dieser Bestimmungen gewährleistet
jedenfalls einen ausreichenden Gläubigerschutz.</w:t>
      </w:r>
    </w:p>
    <w:p>
      <w:pPr>
        <w:widowControl w:val="on"/>
        <w:pBdr/>
        <w:spacing w:before="140" w:after="240" w:line="288" w:lineRule="auto"/>
        <w:ind w:left="0" w:right="0"/>
        <w:jc w:val="left"/>
      </w:pPr>
      <w:r>
        <w:rPr>
          <w:rFonts w:ascii="Arial" w:hAnsi="Arial" w:eastAsia="Arial" w:cs="Arial"/>
          <w:color w:val="000000"/>
          <w:sz w:val="20"/>
          <w:szCs w:val="20"/>
        </w:rPr>
        <w:t xml:space="preserve">Mit einem Kapitalherabsetzungsverfahren analog §§ 54 ff
GmbHG kann zwar eine gewisse Zeitverzögerung verbunden sein; diese
wird dem ausscheidenden Gesellschafter aber durch die Verzinsung
ausgeglichen (vgl </w:t>
      </w:r>
      <w:r>
        <w:rPr>
          <w:rFonts w:ascii="Arial" w:hAnsi="Arial" w:eastAsia="Arial" w:cs="Arial"/>
          <w:i/>
          <w:iCs/>
          <w:color w:val="000000"/>
          <w:sz w:val="20"/>
          <w:szCs w:val="20"/>
        </w:rPr>
        <w:t xml:space="preserve">Zollner/Hartlieb</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Zib/Dellinger</w:t>
      </w:r>
      <w:r>
        <w:rPr>
          <w:rFonts w:ascii="Arial" w:hAnsi="Arial" w:eastAsia="Arial" w:cs="Arial"/>
          <w:color w:val="000000"/>
          <w:sz w:val="20"/>
          <w:szCs w:val="20"/>
        </w:rPr>
        <w:t xml:space="preserve">, UGB § 137 Rz 34 f). Daneben haben
die ausscheidenden Gesellschafter die Möglichkeit, die Erstellung
der Abschichtungsbilanz zu verlangen (</w:t>
      </w:r>
      <w:r>
        <w:rPr>
          <w:rFonts w:ascii="Arial" w:hAnsi="Arial" w:eastAsia="Arial" w:cs="Arial"/>
          <w:i/>
          <w:iCs/>
          <w:color w:val="000000"/>
          <w:sz w:val="20"/>
          <w:szCs w:val="20"/>
        </w:rPr>
        <w:t xml:space="preserve">Koppensteiner/Auer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Straube/Ratka/Rauter</w:t>
      </w:r>
      <w:r>
        <w:rPr>
          <w:rFonts w:ascii="Arial" w:hAnsi="Arial" w:eastAsia="Arial" w:cs="Arial"/>
          <w:color w:val="000000"/>
          <w:sz w:val="20"/>
          <w:szCs w:val="20"/>
        </w:rPr>
        <w:t xml:space="preserve">, UGB I</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 137,
138 Rz 18; </w:t>
      </w:r>
      <w:r>
        <w:rPr>
          <w:rFonts w:ascii="Arial" w:hAnsi="Arial" w:eastAsia="Arial" w:cs="Arial"/>
          <w:i/>
          <w:iCs/>
          <w:color w:val="000000"/>
          <w:sz w:val="20"/>
          <w:szCs w:val="20"/>
        </w:rPr>
        <w:t xml:space="preserve">U. Torggler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U. Torggler</w:t>
      </w:r>
      <w:r>
        <w:rPr>
          <w:rFonts w:ascii="Arial" w:hAnsi="Arial" w:eastAsia="Arial" w:cs="Arial"/>
          <w:color w:val="000000"/>
          <w:sz w:val="20"/>
          <w:szCs w:val="20"/>
        </w:rPr>
        <w:t xml:space="preserve">, UGB²
§ 138 Rz 14) oder – etwa wenn die Höhe des Guthabens
nicht strittig ist oder aber es zu keiner Feststellung der
Abschichtungsbilanz kommt – direkt ein Auseinandersetzungsguthaben
einzuklagen (6 Ob 585/88; 6 Ob 39/10 [ErwGr 10]; </w:t>
      </w:r>
      <w:r>
        <w:rPr>
          <w:rFonts w:ascii="Arial" w:hAnsi="Arial" w:eastAsia="Arial" w:cs="Arial"/>
          <w:i/>
          <w:iCs/>
          <w:color w:val="000000"/>
          <w:sz w:val="20"/>
          <w:szCs w:val="20"/>
        </w:rPr>
        <w:t xml:space="preserve">U.
Torggler</w:t>
      </w:r>
      <w:r>
        <w:rPr>
          <w:rFonts w:ascii="Arial" w:hAnsi="Arial" w:eastAsia="Arial" w:cs="Arial"/>
          <w:color w:val="000000"/>
          <w:sz w:val="20"/>
          <w:szCs w:val="20"/>
        </w:rPr>
        <w:t xml:space="preserve"> aaO, Rz 15; </w:t>
      </w:r>
      <w:r>
        <w:rPr>
          <w:rFonts w:ascii="Arial" w:hAnsi="Arial" w:eastAsia="Arial" w:cs="Arial"/>
          <w:i/>
          <w:iCs/>
          <w:color w:val="000000"/>
          <w:sz w:val="20"/>
          <w:szCs w:val="20"/>
        </w:rPr>
        <w:t xml:space="preserve">Jabornegg/Artmann</w:t>
      </w:r>
      <w:r>
        <w:rPr>
          <w:rFonts w:ascii="Arial" w:hAnsi="Arial" w:eastAsia="Arial" w:cs="Arial"/>
          <w:color w:val="000000"/>
          <w:sz w:val="20"/>
          <w:szCs w:val="20"/>
        </w:rPr>
        <w:t xml:space="preserve">, UGB²
§ 137 Rz 23) (OGH 21.11.2017, 6 Ob 161/17w).</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12 Verfügung über Gesellschaftsanteile</w:t>
      </w:r>
    </w:p>
    <w:p>
      <w:pPr>
        <w:widowControl w:val="on"/>
        <w:pBdr/>
        <w:spacing w:before="140" w:after="240" w:line="288" w:lineRule="auto"/>
        <w:ind w:left="0" w:right="0"/>
        <w:jc w:val="left"/>
      </w:pPr>
      <w:r>
        <w:rPr>
          <w:rFonts w:ascii="Arial" w:hAnsi="Arial" w:eastAsia="Arial" w:cs="Arial"/>
          <w:color w:val="000000"/>
          <w:sz w:val="20"/>
          <w:szCs w:val="20"/>
        </w:rPr>
        <w:t xml:space="preserve">Nach § 76 Abs 1 GmbHG sind Geschäftsanteile
grundsätzlich frei übertragbar, allerdings kann im
Gesellschaftsvertrag die Übertragung von der Zustimmung der
Gesellschaft abhängig gemacht werden (sog Vinkulierung). Dieser
Zustimmungsvorbehalt dient dem Schutz der bestehenden
Gesellschafterstruktur und der Wahrung gesellschaftsinterner
Interessen, indem es den Einfluss Außenstehender begrenzt. Bei der
GmbH &amp; Co KG findet diese Regelung analog Anwendung.</w:t>
      </w:r>
    </w:p>
    <w:p>
      <w:pPr>
        <w:widowControl w:val="on"/>
        <w:pBdr/>
        <w:spacing w:before="140" w:after="240" w:line="288" w:lineRule="auto"/>
        <w:ind w:left="0" w:right="0"/>
        <w:jc w:val="left"/>
      </w:pPr>
      <w:r>
        <w:rPr>
          <w:rFonts w:ascii="Arial" w:hAnsi="Arial" w:eastAsia="Arial" w:cs="Arial"/>
          <w:color w:val="000000"/>
          <w:sz w:val="20"/>
          <w:szCs w:val="20"/>
        </w:rPr>
        <w:t xml:space="preserve">Die konkludente Genehmigung der Abtretung vinkulierter
Geschäftsanteile ist zulässig (so schon 3 Ob 601/90 = ecolex 1991,
394). Für die Zustimmung der Generalversammlung zu den
Abtretungsverträgen genügt einfache Mehrheit, wenn nichts anderes
im Gesellschaftsvertrag der Beklagten bestimmt ist. Bei Einigkeit
aller Gesellschafter sind jedoch weder eine
Gesellschafterversammlung noch ein schriftliches Beschlussverfahren
erforderlich (OGH 16.09.2025, 6 Ob 135/24g).</w:t>
      </w:r>
    </w:p>
    <w:p>
      <w:pPr>
        <w:widowControl w:val="on"/>
        <w:pBdr/>
        <w:spacing w:before="140" w:after="240" w:line="288" w:lineRule="auto"/>
        <w:ind w:left="0" w:right="0"/>
        <w:jc w:val="left"/>
      </w:pPr>
      <w:r>
        <w:rPr>
          <w:rFonts w:ascii="Arial" w:hAnsi="Arial" w:eastAsia="Arial" w:cs="Arial"/>
          <w:color w:val="000000"/>
          <w:sz w:val="20"/>
          <w:szCs w:val="20"/>
        </w:rPr>
        <w:t xml:space="preserve">Stimmen sämtliche Gesellschafter einer konkreten Teilabtretung
eines Geschäftsanteils zu oder wirken daran mit, führt das Fehlen
einer Teilabtretungen gestattenden Bestimmung im
Gesellschaftsvertrag nicht zur Unwirksamkeit dieser Teilabtretung
(OGH 06.11.2024, 6 Ob 224/23v).</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13 Kündigung, Ausscheiden und Ausschluss eines
Gesellschafters</w:t>
      </w:r>
    </w:p>
    <w:p>
      <w:pPr>
        <w:widowControl w:val="on"/>
        <w:pBdr/>
        <w:spacing w:before="140" w:after="240" w:line="288" w:lineRule="auto"/>
        <w:ind w:left="0" w:right="0"/>
        <w:jc w:val="left"/>
      </w:pPr>
      <w:r>
        <w:rPr>
          <w:rFonts w:ascii="Arial" w:hAnsi="Arial" w:eastAsia="Arial" w:cs="Arial"/>
          <w:color w:val="000000"/>
          <w:sz w:val="20"/>
          <w:szCs w:val="20"/>
        </w:rPr>
        <w:t xml:space="preserve">§ 132 UGB iVm § 161 UGB sieht ein Kündigungsrecht der
Gesellschafter vor, wenn die Gesellschaft für unbestimmte Zeit
eingegangen ist, wie in diesem Fall geregelt.</w:t>
      </w:r>
    </w:p>
    <w:p>
      <w:pPr>
        <w:widowControl w:val="on"/>
        <w:pBdr/>
        <w:spacing w:before="140" w:after="240" w:line="288" w:lineRule="auto"/>
        <w:ind w:left="0" w:right="0"/>
        <w:jc w:val="left"/>
      </w:pPr>
      <w:r>
        <w:rPr>
          <w:rFonts w:ascii="Arial" w:hAnsi="Arial" w:eastAsia="Arial" w:cs="Arial"/>
          <w:color w:val="000000"/>
          <w:sz w:val="20"/>
          <w:szCs w:val="20"/>
        </w:rPr>
        <w:t xml:space="preserve">Die Abfindungsregelung ist grundsätzlich iSd § 137 iVm
§ 161 UGB zulässig.</w:t>
      </w:r>
    </w:p>
    <w:p>
      <w:pPr>
        <w:widowControl w:val="on"/>
        <w:pBdr/>
        <w:spacing w:before="140" w:after="240" w:line="288" w:lineRule="auto"/>
        <w:ind w:left="0" w:right="0"/>
        <w:jc w:val="left"/>
      </w:pPr>
      <w:r>
        <w:rPr>
          <w:rFonts w:ascii="Arial" w:hAnsi="Arial" w:eastAsia="Arial" w:cs="Arial"/>
          <w:color w:val="000000"/>
          <w:sz w:val="20"/>
          <w:szCs w:val="20"/>
        </w:rPr>
        <w:t xml:space="preserve">Der ausscheidende Gesellschafter und damit auch der
ausscheidende Kommanditist hat einen Abfindungsanspruch. Ihm ist in
Geld auszuzahlen, was er bei der Auseinandersetzung erhalten würde,
falls die Gesellschaft zur Zeit des Ausscheidens aufgelöst worden
wäre. Dazu ist eine Abschichtungsbilanz zu erstellen (RIS-Justiz
RS0061746).</w:t>
      </w:r>
    </w:p>
    <w:p>
      <w:pPr>
        <w:widowControl w:val="on"/>
        <w:pBdr/>
        <w:spacing w:before="140" w:after="240" w:line="288" w:lineRule="auto"/>
        <w:ind w:left="0" w:right="0"/>
        <w:jc w:val="left"/>
      </w:pPr>
      <w:r>
        <w:rPr>
          <w:rFonts w:ascii="Arial" w:hAnsi="Arial" w:eastAsia="Arial" w:cs="Arial"/>
          <w:color w:val="000000"/>
          <w:sz w:val="20"/>
          <w:szCs w:val="20"/>
        </w:rPr>
        <w:t xml:space="preserve">Aufgrund der engen Beziehung zwischen der Geschäftsführung der
Komplementär-GmbH und der KG hat der Oberste Gerichtshof unter
bestimmten Umständen auch einen eigenen unmittelbaren
Schadenersatzanspruch der KG gegenüber dem GmbH-Geschäftsführer
bejaht (6 Ob 757/83; 7 Ob 525/86; 1 Ob 192/08d GesRz 2009, 293
[Hochedlinger], zuletzt 6 Ob 171/15p). Es kann festgehalten werden,
dass eine subsidiäre Kompetenz der Gesellschafter der
Komplementärin zur Kündigung des Drittanstellungsvertrags ihres
Geschäftsführers mit der KG dann unbestritten ist, wenn keine
weiteren Geschäftsführer in vertretungsberechtigter Anzahl
vorhanden sind. Die in der Literatur immer wieder genannten Gründe,
aus denen die Bestellung und (direkte) Anstellung von
Geschäftsführern den Gesellschaftern der GmbH zugewiesen ist,
insbesondere die Vermeidung von Interessenkonflikten, schlägt in
gleicher Weise auch auf das Verhältnis zur KG durch. Als persönlich
haftende Gesellschafterin ist die GmbH von Begründung und
Beendigung sowie Bedingungen eines Geschäftsführerdienstvertrags
zur KG wirtschaftlich unmittelbar betroffen.</w:t>
      </w:r>
    </w:p>
    <w:p>
      <w:pPr>
        <w:widowControl w:val="on"/>
        <w:pBdr/>
        <w:spacing w:before="140" w:after="240" w:line="288" w:lineRule="auto"/>
        <w:ind w:left="0" w:right="0"/>
        <w:jc w:val="left"/>
      </w:pPr>
      <w:r>
        <w:rPr>
          <w:rFonts w:ascii="Arial" w:hAnsi="Arial" w:eastAsia="Arial" w:cs="Arial"/>
          <w:color w:val="000000"/>
          <w:sz w:val="20"/>
          <w:szCs w:val="20"/>
        </w:rPr>
        <w:t xml:space="preserve">Wesentlich für die Annexkompetenz spricht auch, dass die
Gesellschafter als oberstes Organ der GmbH immer durch (zulässige)
Weisungen an die Geschäftsführer unmittelbar in die Gesellschaft
eingreifen können. Die Geschäftsführer haben solche Weisungen zu
befolgen (§ 20 GmbHG). Es macht in der Praxis keinen
wesentlichen Unterschied, ob die Gesellschafter der Komplementärin
den verbleibenden Geschäftsführern Weisung zur Kündigung ihres
Kollegen erteilen und diese die Weisung umzusetzen haben, oder ob
die Gesellschafter den Kündigungsentschluss unmittelbar im Wege der
subsidiären Kompetenz durchsetzen können. Gesteht man den
Gesellschaftern diese Kompetenz zu, sichert dies ihre unbefangene
Entscheidung bei der Organbestellung und deren Widerruf, weil diese
Kompetenz dann in keiner Weise durch eine Vorwegnahme von Abschluss
oder (Nicht-)Auflösung des Anstellungsvertrags durch die
Geschäftsführung unterlaufen werden kann.</w:t>
      </w:r>
    </w:p>
    <w:p>
      <w:pPr>
        <w:widowControl w:val="on"/>
        <w:pBdr/>
        <w:spacing w:before="140" w:after="240" w:line="288" w:lineRule="auto"/>
        <w:ind w:left="0" w:right="0"/>
        <w:jc w:val="left"/>
      </w:pPr>
      <w:r>
        <w:rPr>
          <w:rFonts w:ascii="Arial" w:hAnsi="Arial" w:eastAsia="Arial" w:cs="Arial"/>
          <w:color w:val="000000"/>
          <w:sz w:val="20"/>
          <w:szCs w:val="20"/>
        </w:rPr>
        <w:t xml:space="preserve">Es ist daher der Rechtsansicht der Vorzug zu geben, dass die
Kündigung des Geschäftsführerdienstvertrags des Geschäftsführers
der Komplementärgesellschaft einer GmbH &amp; Co KG vor seiner
gesellschaftsrechtlichen Abberufung ebenso in die Kompetenz der
Gesellschafter der GmbH fällt wie die Kündigung eines unmittelbar
zur GmbH bestehenden Geschäftsführervertrags (OGH 18.12.2020, 8 ObA
80/19a).</w:t>
      </w:r>
    </w:p>
    <w:p>
      <w:pPr>
        <w:widowControl w:val="on"/>
        <w:pBdr/>
        <w:spacing w:before="140" w:after="240" w:line="288" w:lineRule="auto"/>
        <w:ind w:left="0" w:right="0"/>
        <w:jc w:val="left"/>
      </w:pPr>
      <w:r>
        <w:rPr>
          <w:rFonts w:ascii="Arial" w:hAnsi="Arial" w:eastAsia="Arial" w:cs="Arial"/>
          <w:color w:val="000000"/>
          <w:sz w:val="20"/>
          <w:szCs w:val="20"/>
        </w:rPr>
        <w:t xml:space="preserve">Nach ständiger, auf der Entscheidung 1 Ob 600/53 (SZ 26/285)
basierender Rechtsprechung des Obersten Gerichtshofs ist der
zwangsweise Ausschluss eines Gesellschafters einer Gesellschaft mit
beschränkter Haftung – mit Ausnahme des in § 66 GmbHG
geregelten einzigen Falles der Säumigkeit bei der Einzahlung der
Stammeinlage – unzulässig (RIS-Justiz RS0059745; zuletzt 1 Ob
135/06v ecolex 2007/120 [Reich-Rohrwig]), wenn nicht
Ausschlussmöglichkeit und Ausschlussverfahren im
Gesellschaftsvertrag vorgesehen sind (RIS-Justiz RS0102055). Eine
„rechtsfortbildende Etablierung“ einer Ausschlussklage sei schon
allein deshalb abzulehnen, weil der Gesetzgeber in Kenntnis dieser
jahrzehntelangen Rechtsprechung und der Diskussion in der
Literatur, die überwiegend für eine Rechtsfortbildung eintrete,
keine andersartige Regelung getroffen habe, was gegen die Annahme
einer planwidrigen Gesetzeslücke spreche (1 Ob 135/06v) (OGH
14.09.2011, 6 Ob 80/11z).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 14 Erbfolge</w:t>
      </w:r>
    </w:p>
    <w:p>
      <w:pPr>
        <w:widowControl w:val="on"/>
        <w:pBdr/>
        <w:spacing w:before="140" w:after="240" w:line="288" w:lineRule="auto"/>
        <w:ind w:left="0" w:right="0"/>
        <w:jc w:val="left"/>
      </w:pPr>
      <w:r>
        <w:rPr>
          <w:rFonts w:ascii="Arial" w:hAnsi="Arial" w:eastAsia="Arial" w:cs="Arial"/>
          <w:color w:val="000000"/>
          <w:sz w:val="20"/>
          <w:szCs w:val="20"/>
        </w:rPr>
        <w:t xml:space="preserve">Die Bestimmung regelt die sog „Fortsetzungsklausel“ im
Gesellschaftsvertrag, welche vorsieht, dass die Gesellschaft im
Todesfall eines Gesellschafters nicht aufgelöst wird, sondern von
den verbleibenden Gesellschaftern fortgeführt wird.</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würde der Tod eines Gesellschafters zur Auflösung
der Gesellschaft führen, allerdings ist diese gesetzliche
Bestimmung dispositiv. Durch die vertragliche Fortsetzungsklausel
wird diese Rechtsfolge verdrängt und der Anteil des verstorbenen
Gesellschafters „anwachsungsweise“ auf die verbleibenden
Gesellschafter übertragen („Anwachsungsklausel“). Die
Mitgliedschaft des verstorbenen Gesellschafters gilt als
unvererblich. Die Erben oder Vermächtnisnehmer haben weder ein
Recht noch eine Verpflichtung zur Nachfolge in die Gesellschaft,
sondern erhalten als Surrogat einen Abfindungsanspruch.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36602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93483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75866623">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236093552">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013394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69162032">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482406982">
    <w:multiLevelType w:val="hybridMultilevel"/>
    <w:lvl w:ilvl="0">
      <w:start w:val="1"/>
      <w:numFmt w:val="decimal"/>
      <w:lvlText w:val="%1."/>
      <w:lvlJc w:val="left"/>
      <w:pPr>
        <w:ind w:left="720" w:hanging="360"/>
      </w:pPr>
      <w:rPr/>
    </w:lvl>
    <w:lvl w:ilvl="1">
      <w:start w:val="1"/>
      <w:numFmt w:val="lowerRoman"/>
      <w:lvlText w:val="%2."/>
      <w:lvlJc w:val="left"/>
      <w:pPr>
        <w:ind w:left="1440" w:hanging="360"/>
      </w:pPr>
      <w:rPr/>
    </w:lvl>
    <w:lvl w:ilvl="2">
      <w:start w:val=""/>
      <w:numFmt w:val="decimal"/>
      <w:lvlText w:val="%3."/>
      <w:lvlJc w:val="left"/>
      <w:pPr>
        <w:ind w:left="2160" w:hanging="360"/>
      </w:pPr>
      <w:rPr/>
    </w:lvl>
    <w:lvl w:ilvl="3">
      <w:start w:val=""/>
      <w:numFmt w:val="lowerRoman"/>
      <w:lvlText w:val="%4."/>
      <w:lvlJc w:val="left"/>
      <w:pPr>
        <w:ind w:left="2880" w:hanging="360"/>
      </w:pPr>
      <w:rPr/>
    </w:lvl>
    <w:lvl w:ilvl="4">
      <w:start w:val=""/>
      <w:numFmt w:val="decimal"/>
      <w:lvlText w:val="%5."/>
      <w:lvlJc w:val="left"/>
      <w:pPr>
        <w:ind w:left="3600" w:hanging="360"/>
      </w:pPr>
      <w:rPr/>
    </w:lvl>
    <w:lvl w:ilvl="5">
      <w:start w:val=""/>
      <w:numFmt w:val="lowerRoman"/>
      <w:lvlText w:val="%6."/>
      <w:lvlJc w:val="left"/>
      <w:pPr>
        <w:ind w:left="4320" w:hanging="360"/>
      </w:pPr>
      <w:rPr/>
    </w:lvl>
    <w:lvl w:ilvl="6">
      <w:start w:val=""/>
      <w:numFmt w:val="decimal"/>
      <w:lvlText w:val="%7."/>
      <w:lvlJc w:val="left"/>
      <w:pPr>
        <w:ind w:left="5040" w:hanging="360"/>
      </w:pPr>
      <w:rPr/>
    </w:lvl>
    <w:lvl w:ilvl="7">
      <w:start w:val=""/>
      <w:numFmt w:val="lowerRoman"/>
      <w:lvlText w:val="%8."/>
      <w:lvlJc w:val="left"/>
      <w:pPr>
        <w:ind w:left="5760" w:hanging="360"/>
      </w:pPr>
      <w:rPr/>
    </w:lvl>
    <w:lvl w:ilvl="8">
      <w:start w:val=""/>
      <w:numFmt w:val="decimal"/>
      <w:lvlText w:val="%9."/>
      <w:lvlJc w:val="left"/>
      <w:pPr>
        <w:ind w:left="6480" w:hanging="360"/>
      </w:pPr>
      <w:rPr/>
    </w:lvl>
  </w:abstractNum>
  <w:abstractNum w:abstractNumId="1852093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17855564">
    <w:multiLevelType w:val="hybridMultilevel"/>
    <w:lvl w:ilvl="0">
      <w:start w:val="1"/>
      <w:numFmt w:val="decimal"/>
      <w:lvlText w:val="%1."/>
      <w:lvlJc w:val="left"/>
      <w:pPr>
        <w:ind w:left="720" w:hanging="360"/>
      </w:pPr>
      <w:rPr/>
    </w:lvl>
    <w:lvl w:ilvl="1">
      <w:start w:val="1"/>
      <w:numFmt w:val="lowerRoman"/>
      <w:lvlText w:val="%2."/>
      <w:lvlJc w:val="left"/>
      <w:pPr>
        <w:ind w:left="1440" w:hanging="360"/>
      </w:pPr>
      <w:rPr/>
    </w:lvl>
    <w:lvl w:ilvl="2">
      <w:start w:val=""/>
      <w:numFmt w:val="decimal"/>
      <w:lvlText w:val="%3."/>
      <w:lvlJc w:val="left"/>
      <w:pPr>
        <w:ind w:left="2160" w:hanging="360"/>
      </w:pPr>
      <w:rPr/>
    </w:lvl>
    <w:lvl w:ilvl="3">
      <w:start w:val=""/>
      <w:numFmt w:val="lowerRoman"/>
      <w:lvlText w:val="%4."/>
      <w:lvlJc w:val="left"/>
      <w:pPr>
        <w:ind w:left="2880" w:hanging="360"/>
      </w:pPr>
      <w:rPr/>
    </w:lvl>
    <w:lvl w:ilvl="4">
      <w:start w:val=""/>
      <w:numFmt w:val="decimal"/>
      <w:lvlText w:val="%5."/>
      <w:lvlJc w:val="left"/>
      <w:pPr>
        <w:ind w:left="3600" w:hanging="360"/>
      </w:pPr>
      <w:rPr/>
    </w:lvl>
    <w:lvl w:ilvl="5">
      <w:start w:val=""/>
      <w:numFmt w:val="lowerRoman"/>
      <w:lvlText w:val="%6."/>
      <w:lvlJc w:val="left"/>
      <w:pPr>
        <w:ind w:left="4320" w:hanging="360"/>
      </w:pPr>
      <w:rPr/>
    </w:lvl>
    <w:lvl w:ilvl="6">
      <w:start w:val=""/>
      <w:numFmt w:val="decimal"/>
      <w:lvlText w:val="%7."/>
      <w:lvlJc w:val="left"/>
      <w:pPr>
        <w:ind w:left="5040" w:hanging="360"/>
      </w:pPr>
      <w:rPr/>
    </w:lvl>
    <w:lvl w:ilvl="7">
      <w:start w:val=""/>
      <w:numFmt w:val="lowerRoman"/>
      <w:lvlText w:val="%8."/>
      <w:lvlJc w:val="left"/>
      <w:pPr>
        <w:ind w:left="5760" w:hanging="360"/>
      </w:pPr>
      <w:rPr/>
    </w:lvl>
    <w:lvl w:ilvl="8">
      <w:start w:val=""/>
      <w:numFmt w:val="decimal"/>
      <w:lvlText w:val="%9."/>
      <w:lvlJc w:val="left"/>
      <w:pPr>
        <w:ind w:left="6480" w:hanging="360"/>
      </w:pPr>
      <w:rPr/>
    </w:lvl>
  </w:abstractNum>
  <w:abstractNum w:abstractNumId="5594010">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19323469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3928420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898337">
    <w:multiLevelType w:val="hybridMultilevel"/>
    <w:lvl w:ilvl="0" w:tplc="47561112">
      <w:start w:val="1"/>
      <w:numFmt w:val="decimal"/>
      <w:lvlText w:val="%1."/>
      <w:lvlJc w:val="left"/>
      <w:pPr>
        <w:ind w:left="720" w:hanging="360"/>
      </w:pPr>
    </w:lvl>
    <w:lvl w:ilvl="1" w:tplc="47561112" w:tentative="1">
      <w:start w:val="1"/>
      <w:numFmt w:val="lowerLetter"/>
      <w:lvlText w:val="%2."/>
      <w:lvlJc w:val="left"/>
      <w:pPr>
        <w:ind w:left="1440" w:hanging="360"/>
      </w:pPr>
    </w:lvl>
    <w:lvl w:ilvl="2" w:tplc="47561112" w:tentative="1">
      <w:start w:val="1"/>
      <w:numFmt w:val="lowerRoman"/>
      <w:lvlText w:val="%3."/>
      <w:lvlJc w:val="right"/>
      <w:pPr>
        <w:ind w:left="2160" w:hanging="180"/>
      </w:pPr>
    </w:lvl>
    <w:lvl w:ilvl="3" w:tplc="47561112" w:tentative="1">
      <w:start w:val="1"/>
      <w:numFmt w:val="decimal"/>
      <w:lvlText w:val="%4."/>
      <w:lvlJc w:val="left"/>
      <w:pPr>
        <w:ind w:left="2880" w:hanging="360"/>
      </w:pPr>
    </w:lvl>
    <w:lvl w:ilvl="4" w:tplc="47561112" w:tentative="1">
      <w:start w:val="1"/>
      <w:numFmt w:val="lowerLetter"/>
      <w:lvlText w:val="%5."/>
      <w:lvlJc w:val="left"/>
      <w:pPr>
        <w:ind w:left="3600" w:hanging="360"/>
      </w:pPr>
    </w:lvl>
    <w:lvl w:ilvl="5" w:tplc="47561112" w:tentative="1">
      <w:start w:val="1"/>
      <w:numFmt w:val="lowerRoman"/>
      <w:lvlText w:val="%6."/>
      <w:lvlJc w:val="right"/>
      <w:pPr>
        <w:ind w:left="4320" w:hanging="180"/>
      </w:pPr>
    </w:lvl>
    <w:lvl w:ilvl="6" w:tplc="47561112" w:tentative="1">
      <w:start w:val="1"/>
      <w:numFmt w:val="decimal"/>
      <w:lvlText w:val="%7."/>
      <w:lvlJc w:val="left"/>
      <w:pPr>
        <w:ind w:left="5040" w:hanging="360"/>
      </w:pPr>
    </w:lvl>
    <w:lvl w:ilvl="7" w:tplc="47561112" w:tentative="1">
      <w:start w:val="1"/>
      <w:numFmt w:val="lowerLetter"/>
      <w:lvlText w:val="%8."/>
      <w:lvlJc w:val="left"/>
      <w:pPr>
        <w:ind w:left="5760" w:hanging="360"/>
      </w:pPr>
    </w:lvl>
    <w:lvl w:ilvl="8" w:tplc="47561112" w:tentative="1">
      <w:start w:val="1"/>
      <w:numFmt w:val="lowerRoman"/>
      <w:lvlText w:val="%9."/>
      <w:lvlJc w:val="right"/>
      <w:pPr>
        <w:ind w:left="6480" w:hanging="180"/>
      </w:pPr>
    </w:lvl>
  </w:abstractNum>
  <w:abstractNum w:abstractNumId="27898336">
    <w:multiLevelType w:val="hybridMultilevel"/>
    <w:lvl w:ilvl="0" w:tplc="26715093">
      <w:start w:val="1"/>
      <w:numFmt w:val="decimal"/>
      <w:lvlText w:val="%1."/>
      <w:lvlJc w:val="left"/>
      <w:pPr>
        <w:ind w:left="720" w:hanging="360"/>
      </w:pPr>
    </w:lvl>
    <w:lvl w:ilvl="1" w:tplc="26715093" w:tentative="1">
      <w:start w:val="1"/>
      <w:numFmt w:val="lowerLetter"/>
      <w:lvlText w:val="%2."/>
      <w:lvlJc w:val="left"/>
      <w:pPr>
        <w:ind w:left="1440" w:hanging="360"/>
      </w:pPr>
    </w:lvl>
    <w:lvl w:ilvl="2" w:tplc="26715093" w:tentative="1">
      <w:start w:val="1"/>
      <w:numFmt w:val="lowerRoman"/>
      <w:lvlText w:val="%3."/>
      <w:lvlJc w:val="right"/>
      <w:pPr>
        <w:ind w:left="2160" w:hanging="180"/>
      </w:pPr>
    </w:lvl>
    <w:lvl w:ilvl="3" w:tplc="26715093" w:tentative="1">
      <w:start w:val="1"/>
      <w:numFmt w:val="decimal"/>
      <w:lvlText w:val="%4."/>
      <w:lvlJc w:val="left"/>
      <w:pPr>
        <w:ind w:left="2880" w:hanging="360"/>
      </w:pPr>
    </w:lvl>
    <w:lvl w:ilvl="4" w:tplc="26715093" w:tentative="1">
      <w:start w:val="1"/>
      <w:numFmt w:val="lowerLetter"/>
      <w:lvlText w:val="%5."/>
      <w:lvlJc w:val="left"/>
      <w:pPr>
        <w:ind w:left="3600" w:hanging="360"/>
      </w:pPr>
    </w:lvl>
    <w:lvl w:ilvl="5" w:tplc="26715093" w:tentative="1">
      <w:start w:val="1"/>
      <w:numFmt w:val="lowerRoman"/>
      <w:lvlText w:val="%6."/>
      <w:lvlJc w:val="right"/>
      <w:pPr>
        <w:ind w:left="4320" w:hanging="180"/>
      </w:pPr>
    </w:lvl>
    <w:lvl w:ilvl="6" w:tplc="26715093" w:tentative="1">
      <w:start w:val="1"/>
      <w:numFmt w:val="decimal"/>
      <w:lvlText w:val="%7."/>
      <w:lvlJc w:val="left"/>
      <w:pPr>
        <w:ind w:left="5040" w:hanging="360"/>
      </w:pPr>
    </w:lvl>
    <w:lvl w:ilvl="7" w:tplc="26715093" w:tentative="1">
      <w:start w:val="1"/>
      <w:numFmt w:val="lowerLetter"/>
      <w:lvlText w:val="%8."/>
      <w:lvlJc w:val="left"/>
      <w:pPr>
        <w:ind w:left="5760" w:hanging="360"/>
      </w:pPr>
    </w:lvl>
    <w:lvl w:ilvl="8" w:tplc="26715093" w:tentative="1">
      <w:start w:val="1"/>
      <w:numFmt w:val="lowerRoman"/>
      <w:lvlText w:val="%9."/>
      <w:lvlJc w:val="right"/>
      <w:pPr>
        <w:ind w:left="6480" w:hanging="180"/>
      </w:pPr>
    </w:lvl>
  </w:abstractNum>
  <w:abstractNum w:abstractNumId="27898335">
    <w:multiLevelType w:val="hybridMultilevel"/>
    <w:lvl w:ilvl="0" w:tplc="13987825">
      <w:start w:val="1"/>
      <w:numFmt w:val="decimal"/>
      <w:lvlText w:val="%1."/>
      <w:lvlJc w:val="left"/>
      <w:pPr>
        <w:ind w:left="720" w:hanging="360"/>
      </w:pPr>
    </w:lvl>
    <w:lvl w:ilvl="1" w:tplc="13987825" w:tentative="1">
      <w:start w:val="1"/>
      <w:numFmt w:val="lowerLetter"/>
      <w:lvlText w:val="%2."/>
      <w:lvlJc w:val="left"/>
      <w:pPr>
        <w:ind w:left="1440" w:hanging="360"/>
      </w:pPr>
    </w:lvl>
    <w:lvl w:ilvl="2" w:tplc="13987825" w:tentative="1">
      <w:start w:val="1"/>
      <w:numFmt w:val="lowerRoman"/>
      <w:lvlText w:val="%3."/>
      <w:lvlJc w:val="right"/>
      <w:pPr>
        <w:ind w:left="2160" w:hanging="180"/>
      </w:pPr>
    </w:lvl>
    <w:lvl w:ilvl="3" w:tplc="13987825" w:tentative="1">
      <w:start w:val="1"/>
      <w:numFmt w:val="decimal"/>
      <w:lvlText w:val="%4."/>
      <w:lvlJc w:val="left"/>
      <w:pPr>
        <w:ind w:left="2880" w:hanging="360"/>
      </w:pPr>
    </w:lvl>
    <w:lvl w:ilvl="4" w:tplc="13987825" w:tentative="1">
      <w:start w:val="1"/>
      <w:numFmt w:val="lowerLetter"/>
      <w:lvlText w:val="%5."/>
      <w:lvlJc w:val="left"/>
      <w:pPr>
        <w:ind w:left="3600" w:hanging="360"/>
      </w:pPr>
    </w:lvl>
    <w:lvl w:ilvl="5" w:tplc="13987825" w:tentative="1">
      <w:start w:val="1"/>
      <w:numFmt w:val="lowerRoman"/>
      <w:lvlText w:val="%6."/>
      <w:lvlJc w:val="right"/>
      <w:pPr>
        <w:ind w:left="4320" w:hanging="180"/>
      </w:pPr>
    </w:lvl>
    <w:lvl w:ilvl="6" w:tplc="13987825" w:tentative="1">
      <w:start w:val="1"/>
      <w:numFmt w:val="decimal"/>
      <w:lvlText w:val="%7."/>
      <w:lvlJc w:val="left"/>
      <w:pPr>
        <w:ind w:left="5040" w:hanging="360"/>
      </w:pPr>
    </w:lvl>
    <w:lvl w:ilvl="7" w:tplc="13987825" w:tentative="1">
      <w:start w:val="1"/>
      <w:numFmt w:val="lowerLetter"/>
      <w:lvlText w:val="%8."/>
      <w:lvlJc w:val="left"/>
      <w:pPr>
        <w:ind w:left="5760" w:hanging="360"/>
      </w:pPr>
    </w:lvl>
    <w:lvl w:ilvl="8" w:tplc="13987825" w:tentative="1">
      <w:start w:val="1"/>
      <w:numFmt w:val="lowerRoman"/>
      <w:lvlText w:val="%9."/>
      <w:lvlJc w:val="right"/>
      <w:pPr>
        <w:ind w:left="6480" w:hanging="180"/>
      </w:pPr>
    </w:lvl>
  </w:abstractNum>
  <w:abstractNum w:abstractNumId="27898334">
    <w:multiLevelType w:val="hybridMultilevel"/>
    <w:lvl w:ilvl="0" w:tplc="36803231">
      <w:start w:val="1"/>
      <w:numFmt w:val="decimal"/>
      <w:lvlText w:val="%1."/>
      <w:lvlJc w:val="left"/>
      <w:pPr>
        <w:ind w:left="720" w:hanging="360"/>
      </w:pPr>
    </w:lvl>
    <w:lvl w:ilvl="1" w:tplc="36803231" w:tentative="1">
      <w:start w:val="1"/>
      <w:numFmt w:val="lowerLetter"/>
      <w:lvlText w:val="%2."/>
      <w:lvlJc w:val="left"/>
      <w:pPr>
        <w:ind w:left="1440" w:hanging="360"/>
      </w:pPr>
    </w:lvl>
    <w:lvl w:ilvl="2" w:tplc="36803231" w:tentative="1">
      <w:start w:val="1"/>
      <w:numFmt w:val="lowerRoman"/>
      <w:lvlText w:val="%3."/>
      <w:lvlJc w:val="right"/>
      <w:pPr>
        <w:ind w:left="2160" w:hanging="180"/>
      </w:pPr>
    </w:lvl>
    <w:lvl w:ilvl="3" w:tplc="36803231" w:tentative="1">
      <w:start w:val="1"/>
      <w:numFmt w:val="decimal"/>
      <w:lvlText w:val="%4."/>
      <w:lvlJc w:val="left"/>
      <w:pPr>
        <w:ind w:left="2880" w:hanging="360"/>
      </w:pPr>
    </w:lvl>
    <w:lvl w:ilvl="4" w:tplc="36803231" w:tentative="1">
      <w:start w:val="1"/>
      <w:numFmt w:val="lowerLetter"/>
      <w:lvlText w:val="%5."/>
      <w:lvlJc w:val="left"/>
      <w:pPr>
        <w:ind w:left="3600" w:hanging="360"/>
      </w:pPr>
    </w:lvl>
    <w:lvl w:ilvl="5" w:tplc="36803231" w:tentative="1">
      <w:start w:val="1"/>
      <w:numFmt w:val="lowerRoman"/>
      <w:lvlText w:val="%6."/>
      <w:lvlJc w:val="right"/>
      <w:pPr>
        <w:ind w:left="4320" w:hanging="180"/>
      </w:pPr>
    </w:lvl>
    <w:lvl w:ilvl="6" w:tplc="36803231" w:tentative="1">
      <w:start w:val="1"/>
      <w:numFmt w:val="decimal"/>
      <w:lvlText w:val="%7."/>
      <w:lvlJc w:val="left"/>
      <w:pPr>
        <w:ind w:left="5040" w:hanging="360"/>
      </w:pPr>
    </w:lvl>
    <w:lvl w:ilvl="7" w:tplc="36803231" w:tentative="1">
      <w:start w:val="1"/>
      <w:numFmt w:val="lowerLetter"/>
      <w:lvlText w:val="%8."/>
      <w:lvlJc w:val="left"/>
      <w:pPr>
        <w:ind w:left="5760" w:hanging="360"/>
      </w:pPr>
    </w:lvl>
    <w:lvl w:ilvl="8" w:tplc="36803231" w:tentative="1">
      <w:start w:val="1"/>
      <w:numFmt w:val="lowerRoman"/>
      <w:lvlText w:val="%9."/>
      <w:lvlJc w:val="right"/>
      <w:pPr>
        <w:ind w:left="6480" w:hanging="180"/>
      </w:pPr>
    </w:lvl>
  </w:abstractNum>
  <w:abstractNum w:abstractNumId="27898333">
    <w:multiLevelType w:val="hybridMultilevel"/>
    <w:lvl w:ilvl="0" w:tplc="47029029">
      <w:start w:val="1"/>
      <w:numFmt w:val="decimal"/>
      <w:lvlText w:val="%1."/>
      <w:lvlJc w:val="left"/>
      <w:pPr>
        <w:ind w:left="720" w:hanging="360"/>
      </w:pPr>
    </w:lvl>
    <w:lvl w:ilvl="1" w:tplc="47029029" w:tentative="1">
      <w:start w:val="1"/>
      <w:numFmt w:val="lowerLetter"/>
      <w:lvlText w:val="%2."/>
      <w:lvlJc w:val="left"/>
      <w:pPr>
        <w:ind w:left="1440" w:hanging="360"/>
      </w:pPr>
    </w:lvl>
    <w:lvl w:ilvl="2" w:tplc="47029029" w:tentative="1">
      <w:start w:val="1"/>
      <w:numFmt w:val="lowerRoman"/>
      <w:lvlText w:val="%3."/>
      <w:lvlJc w:val="right"/>
      <w:pPr>
        <w:ind w:left="2160" w:hanging="180"/>
      </w:pPr>
    </w:lvl>
    <w:lvl w:ilvl="3" w:tplc="47029029" w:tentative="1">
      <w:start w:val="1"/>
      <w:numFmt w:val="decimal"/>
      <w:lvlText w:val="%4."/>
      <w:lvlJc w:val="left"/>
      <w:pPr>
        <w:ind w:left="2880" w:hanging="360"/>
      </w:pPr>
    </w:lvl>
    <w:lvl w:ilvl="4" w:tplc="47029029" w:tentative="1">
      <w:start w:val="1"/>
      <w:numFmt w:val="lowerLetter"/>
      <w:lvlText w:val="%5."/>
      <w:lvlJc w:val="left"/>
      <w:pPr>
        <w:ind w:left="3600" w:hanging="360"/>
      </w:pPr>
    </w:lvl>
    <w:lvl w:ilvl="5" w:tplc="47029029" w:tentative="1">
      <w:start w:val="1"/>
      <w:numFmt w:val="lowerRoman"/>
      <w:lvlText w:val="%6."/>
      <w:lvlJc w:val="right"/>
      <w:pPr>
        <w:ind w:left="4320" w:hanging="180"/>
      </w:pPr>
    </w:lvl>
    <w:lvl w:ilvl="6" w:tplc="47029029" w:tentative="1">
      <w:start w:val="1"/>
      <w:numFmt w:val="decimal"/>
      <w:lvlText w:val="%7."/>
      <w:lvlJc w:val="left"/>
      <w:pPr>
        <w:ind w:left="5040" w:hanging="360"/>
      </w:pPr>
    </w:lvl>
    <w:lvl w:ilvl="7" w:tplc="47029029" w:tentative="1">
      <w:start w:val="1"/>
      <w:numFmt w:val="lowerLetter"/>
      <w:lvlText w:val="%8."/>
      <w:lvlJc w:val="left"/>
      <w:pPr>
        <w:ind w:left="5760" w:hanging="360"/>
      </w:pPr>
    </w:lvl>
    <w:lvl w:ilvl="8" w:tplc="47029029" w:tentative="1">
      <w:start w:val="1"/>
      <w:numFmt w:val="lowerRoman"/>
      <w:lvlText w:val="%9."/>
      <w:lvlJc w:val="right"/>
      <w:pPr>
        <w:ind w:left="6480" w:hanging="180"/>
      </w:pPr>
    </w:lvl>
  </w:abstractNum>
  <w:abstractNum w:abstractNumId="27898332">
    <w:multiLevelType w:val="hybridMultilevel"/>
    <w:lvl w:ilvl="0" w:tplc="99288048">
      <w:start w:val="1"/>
      <w:numFmt w:val="decimal"/>
      <w:lvlText w:val="%1."/>
      <w:lvlJc w:val="left"/>
      <w:pPr>
        <w:ind w:left="720" w:hanging="360"/>
      </w:pPr>
    </w:lvl>
    <w:lvl w:ilvl="1" w:tplc="99288048" w:tentative="1">
      <w:start w:val="1"/>
      <w:numFmt w:val="lowerLetter"/>
      <w:lvlText w:val="%2."/>
      <w:lvlJc w:val="left"/>
      <w:pPr>
        <w:ind w:left="1440" w:hanging="360"/>
      </w:pPr>
    </w:lvl>
    <w:lvl w:ilvl="2" w:tplc="99288048" w:tentative="1">
      <w:start w:val="1"/>
      <w:numFmt w:val="lowerRoman"/>
      <w:lvlText w:val="%3."/>
      <w:lvlJc w:val="right"/>
      <w:pPr>
        <w:ind w:left="2160" w:hanging="180"/>
      </w:pPr>
    </w:lvl>
    <w:lvl w:ilvl="3" w:tplc="99288048" w:tentative="1">
      <w:start w:val="1"/>
      <w:numFmt w:val="decimal"/>
      <w:lvlText w:val="%4."/>
      <w:lvlJc w:val="left"/>
      <w:pPr>
        <w:ind w:left="2880" w:hanging="360"/>
      </w:pPr>
    </w:lvl>
    <w:lvl w:ilvl="4" w:tplc="99288048" w:tentative="1">
      <w:start w:val="1"/>
      <w:numFmt w:val="lowerLetter"/>
      <w:lvlText w:val="%5."/>
      <w:lvlJc w:val="left"/>
      <w:pPr>
        <w:ind w:left="3600" w:hanging="360"/>
      </w:pPr>
    </w:lvl>
    <w:lvl w:ilvl="5" w:tplc="99288048" w:tentative="1">
      <w:start w:val="1"/>
      <w:numFmt w:val="lowerRoman"/>
      <w:lvlText w:val="%6."/>
      <w:lvlJc w:val="right"/>
      <w:pPr>
        <w:ind w:left="4320" w:hanging="180"/>
      </w:pPr>
    </w:lvl>
    <w:lvl w:ilvl="6" w:tplc="99288048" w:tentative="1">
      <w:start w:val="1"/>
      <w:numFmt w:val="decimal"/>
      <w:lvlText w:val="%7."/>
      <w:lvlJc w:val="left"/>
      <w:pPr>
        <w:ind w:left="5040" w:hanging="360"/>
      </w:pPr>
    </w:lvl>
    <w:lvl w:ilvl="7" w:tplc="99288048" w:tentative="1">
      <w:start w:val="1"/>
      <w:numFmt w:val="lowerLetter"/>
      <w:lvlText w:val="%8."/>
      <w:lvlJc w:val="left"/>
      <w:pPr>
        <w:ind w:left="5760" w:hanging="360"/>
      </w:pPr>
    </w:lvl>
    <w:lvl w:ilvl="8" w:tplc="99288048" w:tentative="1">
      <w:start w:val="1"/>
      <w:numFmt w:val="lowerRoman"/>
      <w:lvlText w:val="%9."/>
      <w:lvlJc w:val="right"/>
      <w:pPr>
        <w:ind w:left="6480" w:hanging="180"/>
      </w:pPr>
    </w:lvl>
  </w:abstractNum>
  <w:abstractNum w:abstractNumId="27898331">
    <w:multiLevelType w:val="hybridMultilevel"/>
    <w:lvl w:ilvl="0" w:tplc="66843136">
      <w:start w:val="1"/>
      <w:numFmt w:val="decimal"/>
      <w:lvlText w:val="%1."/>
      <w:lvlJc w:val="left"/>
      <w:pPr>
        <w:ind w:left="720" w:hanging="360"/>
      </w:pPr>
    </w:lvl>
    <w:lvl w:ilvl="1" w:tplc="66843136" w:tentative="1">
      <w:start w:val="1"/>
      <w:numFmt w:val="lowerLetter"/>
      <w:lvlText w:val="%2."/>
      <w:lvlJc w:val="left"/>
      <w:pPr>
        <w:ind w:left="1440" w:hanging="360"/>
      </w:pPr>
    </w:lvl>
    <w:lvl w:ilvl="2" w:tplc="66843136" w:tentative="1">
      <w:start w:val="1"/>
      <w:numFmt w:val="lowerRoman"/>
      <w:lvlText w:val="%3."/>
      <w:lvlJc w:val="right"/>
      <w:pPr>
        <w:ind w:left="2160" w:hanging="180"/>
      </w:pPr>
    </w:lvl>
    <w:lvl w:ilvl="3" w:tplc="66843136" w:tentative="1">
      <w:start w:val="1"/>
      <w:numFmt w:val="decimal"/>
      <w:lvlText w:val="%4."/>
      <w:lvlJc w:val="left"/>
      <w:pPr>
        <w:ind w:left="2880" w:hanging="360"/>
      </w:pPr>
    </w:lvl>
    <w:lvl w:ilvl="4" w:tplc="66843136" w:tentative="1">
      <w:start w:val="1"/>
      <w:numFmt w:val="lowerLetter"/>
      <w:lvlText w:val="%5."/>
      <w:lvlJc w:val="left"/>
      <w:pPr>
        <w:ind w:left="3600" w:hanging="360"/>
      </w:pPr>
    </w:lvl>
    <w:lvl w:ilvl="5" w:tplc="66843136" w:tentative="1">
      <w:start w:val="1"/>
      <w:numFmt w:val="lowerRoman"/>
      <w:lvlText w:val="%6."/>
      <w:lvlJc w:val="right"/>
      <w:pPr>
        <w:ind w:left="4320" w:hanging="180"/>
      </w:pPr>
    </w:lvl>
    <w:lvl w:ilvl="6" w:tplc="66843136" w:tentative="1">
      <w:start w:val="1"/>
      <w:numFmt w:val="decimal"/>
      <w:lvlText w:val="%7."/>
      <w:lvlJc w:val="left"/>
      <w:pPr>
        <w:ind w:left="5040" w:hanging="360"/>
      </w:pPr>
    </w:lvl>
    <w:lvl w:ilvl="7" w:tplc="66843136" w:tentative="1">
      <w:start w:val="1"/>
      <w:numFmt w:val="lowerLetter"/>
      <w:lvlText w:val="%8."/>
      <w:lvlJc w:val="left"/>
      <w:pPr>
        <w:ind w:left="5760" w:hanging="360"/>
      </w:pPr>
    </w:lvl>
    <w:lvl w:ilvl="8" w:tplc="66843136" w:tentative="1">
      <w:start w:val="1"/>
      <w:numFmt w:val="lowerRoman"/>
      <w:lvlText w:val="%9."/>
      <w:lvlJc w:val="right"/>
      <w:pPr>
        <w:ind w:left="6480" w:hanging="180"/>
      </w:pPr>
    </w:lvl>
  </w:abstractNum>
  <w:abstractNum w:abstractNumId="27898330">
    <w:multiLevelType w:val="hybridMultilevel"/>
    <w:lvl w:ilvl="0" w:tplc="88243175">
      <w:start w:val="1"/>
      <w:numFmt w:val="decimal"/>
      <w:lvlText w:val="%1."/>
      <w:lvlJc w:val="left"/>
      <w:pPr>
        <w:ind w:left="720" w:hanging="360"/>
      </w:pPr>
    </w:lvl>
    <w:lvl w:ilvl="1" w:tplc="88243175" w:tentative="1">
      <w:start w:val="1"/>
      <w:numFmt w:val="lowerLetter"/>
      <w:lvlText w:val="%2."/>
      <w:lvlJc w:val="left"/>
      <w:pPr>
        <w:ind w:left="1440" w:hanging="360"/>
      </w:pPr>
    </w:lvl>
    <w:lvl w:ilvl="2" w:tplc="88243175" w:tentative="1">
      <w:start w:val="1"/>
      <w:numFmt w:val="lowerRoman"/>
      <w:lvlText w:val="%3."/>
      <w:lvlJc w:val="right"/>
      <w:pPr>
        <w:ind w:left="2160" w:hanging="180"/>
      </w:pPr>
    </w:lvl>
    <w:lvl w:ilvl="3" w:tplc="88243175" w:tentative="1">
      <w:start w:val="1"/>
      <w:numFmt w:val="decimal"/>
      <w:lvlText w:val="%4."/>
      <w:lvlJc w:val="left"/>
      <w:pPr>
        <w:ind w:left="2880" w:hanging="360"/>
      </w:pPr>
    </w:lvl>
    <w:lvl w:ilvl="4" w:tplc="88243175" w:tentative="1">
      <w:start w:val="1"/>
      <w:numFmt w:val="lowerLetter"/>
      <w:lvlText w:val="%5."/>
      <w:lvlJc w:val="left"/>
      <w:pPr>
        <w:ind w:left="3600" w:hanging="360"/>
      </w:pPr>
    </w:lvl>
    <w:lvl w:ilvl="5" w:tplc="88243175" w:tentative="1">
      <w:start w:val="1"/>
      <w:numFmt w:val="lowerRoman"/>
      <w:lvlText w:val="%6."/>
      <w:lvlJc w:val="right"/>
      <w:pPr>
        <w:ind w:left="4320" w:hanging="180"/>
      </w:pPr>
    </w:lvl>
    <w:lvl w:ilvl="6" w:tplc="88243175" w:tentative="1">
      <w:start w:val="1"/>
      <w:numFmt w:val="decimal"/>
      <w:lvlText w:val="%7."/>
      <w:lvlJc w:val="left"/>
      <w:pPr>
        <w:ind w:left="5040" w:hanging="360"/>
      </w:pPr>
    </w:lvl>
    <w:lvl w:ilvl="7" w:tplc="88243175" w:tentative="1">
      <w:start w:val="1"/>
      <w:numFmt w:val="lowerLetter"/>
      <w:lvlText w:val="%8."/>
      <w:lvlJc w:val="left"/>
      <w:pPr>
        <w:ind w:left="5760" w:hanging="360"/>
      </w:pPr>
    </w:lvl>
    <w:lvl w:ilvl="8" w:tplc="88243175" w:tentative="1">
      <w:start w:val="1"/>
      <w:numFmt w:val="lowerRoman"/>
      <w:lvlText w:val="%9."/>
      <w:lvlJc w:val="right"/>
      <w:pPr>
        <w:ind w:left="6480" w:hanging="180"/>
      </w:pPr>
    </w:lvl>
  </w:abstractNum>
  <w:abstractNum w:abstractNumId="27898329">
    <w:multiLevelType w:val="hybridMultilevel"/>
    <w:lvl w:ilvl="0" w:tplc="32810244">
      <w:start w:val="1"/>
      <w:numFmt w:val="decimal"/>
      <w:lvlText w:val="%1."/>
      <w:lvlJc w:val="left"/>
      <w:pPr>
        <w:ind w:left="720" w:hanging="360"/>
      </w:pPr>
    </w:lvl>
    <w:lvl w:ilvl="1" w:tplc="32810244" w:tentative="1">
      <w:start w:val="1"/>
      <w:numFmt w:val="lowerLetter"/>
      <w:lvlText w:val="%2."/>
      <w:lvlJc w:val="left"/>
      <w:pPr>
        <w:ind w:left="1440" w:hanging="360"/>
      </w:pPr>
    </w:lvl>
    <w:lvl w:ilvl="2" w:tplc="32810244" w:tentative="1">
      <w:start w:val="1"/>
      <w:numFmt w:val="lowerRoman"/>
      <w:lvlText w:val="%3."/>
      <w:lvlJc w:val="right"/>
      <w:pPr>
        <w:ind w:left="2160" w:hanging="180"/>
      </w:pPr>
    </w:lvl>
    <w:lvl w:ilvl="3" w:tplc="32810244" w:tentative="1">
      <w:start w:val="1"/>
      <w:numFmt w:val="decimal"/>
      <w:lvlText w:val="%4."/>
      <w:lvlJc w:val="left"/>
      <w:pPr>
        <w:ind w:left="2880" w:hanging="360"/>
      </w:pPr>
    </w:lvl>
    <w:lvl w:ilvl="4" w:tplc="32810244" w:tentative="1">
      <w:start w:val="1"/>
      <w:numFmt w:val="lowerLetter"/>
      <w:lvlText w:val="%5."/>
      <w:lvlJc w:val="left"/>
      <w:pPr>
        <w:ind w:left="3600" w:hanging="360"/>
      </w:pPr>
    </w:lvl>
    <w:lvl w:ilvl="5" w:tplc="32810244" w:tentative="1">
      <w:start w:val="1"/>
      <w:numFmt w:val="lowerRoman"/>
      <w:lvlText w:val="%6."/>
      <w:lvlJc w:val="right"/>
      <w:pPr>
        <w:ind w:left="4320" w:hanging="180"/>
      </w:pPr>
    </w:lvl>
    <w:lvl w:ilvl="6" w:tplc="32810244" w:tentative="1">
      <w:start w:val="1"/>
      <w:numFmt w:val="decimal"/>
      <w:lvlText w:val="%7."/>
      <w:lvlJc w:val="left"/>
      <w:pPr>
        <w:ind w:left="5040" w:hanging="360"/>
      </w:pPr>
    </w:lvl>
    <w:lvl w:ilvl="7" w:tplc="32810244" w:tentative="1">
      <w:start w:val="1"/>
      <w:numFmt w:val="lowerLetter"/>
      <w:lvlText w:val="%8."/>
      <w:lvlJc w:val="left"/>
      <w:pPr>
        <w:ind w:left="5760" w:hanging="360"/>
      </w:pPr>
    </w:lvl>
    <w:lvl w:ilvl="8" w:tplc="32810244" w:tentative="1">
      <w:start w:val="1"/>
      <w:numFmt w:val="lowerRoman"/>
      <w:lvlText w:val="%9."/>
      <w:lvlJc w:val="right"/>
      <w:pPr>
        <w:ind w:left="6480" w:hanging="180"/>
      </w:pPr>
    </w:lvl>
  </w:abstractNum>
  <w:abstractNum w:abstractNumId="27898328">
    <w:multiLevelType w:val="hybridMultilevel"/>
    <w:lvl w:ilvl="0" w:tplc="76445693">
      <w:start w:val="1"/>
      <w:numFmt w:val="decimal"/>
      <w:lvlText w:val="%1."/>
      <w:lvlJc w:val="left"/>
      <w:pPr>
        <w:ind w:left="720" w:hanging="360"/>
      </w:pPr>
    </w:lvl>
    <w:lvl w:ilvl="1" w:tplc="76445693" w:tentative="1">
      <w:start w:val="1"/>
      <w:numFmt w:val="lowerLetter"/>
      <w:lvlText w:val="%2."/>
      <w:lvlJc w:val="left"/>
      <w:pPr>
        <w:ind w:left="1440" w:hanging="360"/>
      </w:pPr>
    </w:lvl>
    <w:lvl w:ilvl="2" w:tplc="76445693" w:tentative="1">
      <w:start w:val="1"/>
      <w:numFmt w:val="lowerRoman"/>
      <w:lvlText w:val="%3."/>
      <w:lvlJc w:val="right"/>
      <w:pPr>
        <w:ind w:left="2160" w:hanging="180"/>
      </w:pPr>
    </w:lvl>
    <w:lvl w:ilvl="3" w:tplc="76445693" w:tentative="1">
      <w:start w:val="1"/>
      <w:numFmt w:val="decimal"/>
      <w:lvlText w:val="%4."/>
      <w:lvlJc w:val="left"/>
      <w:pPr>
        <w:ind w:left="2880" w:hanging="360"/>
      </w:pPr>
    </w:lvl>
    <w:lvl w:ilvl="4" w:tplc="76445693" w:tentative="1">
      <w:start w:val="1"/>
      <w:numFmt w:val="lowerLetter"/>
      <w:lvlText w:val="%5."/>
      <w:lvlJc w:val="left"/>
      <w:pPr>
        <w:ind w:left="3600" w:hanging="360"/>
      </w:pPr>
    </w:lvl>
    <w:lvl w:ilvl="5" w:tplc="76445693" w:tentative="1">
      <w:start w:val="1"/>
      <w:numFmt w:val="lowerRoman"/>
      <w:lvlText w:val="%6."/>
      <w:lvlJc w:val="right"/>
      <w:pPr>
        <w:ind w:left="4320" w:hanging="180"/>
      </w:pPr>
    </w:lvl>
    <w:lvl w:ilvl="6" w:tplc="76445693" w:tentative="1">
      <w:start w:val="1"/>
      <w:numFmt w:val="decimal"/>
      <w:lvlText w:val="%7."/>
      <w:lvlJc w:val="left"/>
      <w:pPr>
        <w:ind w:left="5040" w:hanging="360"/>
      </w:pPr>
    </w:lvl>
    <w:lvl w:ilvl="7" w:tplc="76445693" w:tentative="1">
      <w:start w:val="1"/>
      <w:numFmt w:val="lowerLetter"/>
      <w:lvlText w:val="%8."/>
      <w:lvlJc w:val="left"/>
      <w:pPr>
        <w:ind w:left="5760" w:hanging="360"/>
      </w:pPr>
    </w:lvl>
    <w:lvl w:ilvl="8" w:tplc="76445693" w:tentative="1">
      <w:start w:val="1"/>
      <w:numFmt w:val="lowerRoman"/>
      <w:lvlText w:val="%9."/>
      <w:lvlJc w:val="right"/>
      <w:pPr>
        <w:ind w:left="6480" w:hanging="180"/>
      </w:pPr>
    </w:lvl>
  </w:abstractNum>
  <w:abstractNum w:abstractNumId="27898327">
    <w:multiLevelType w:val="hybridMultilevel"/>
    <w:lvl w:ilvl="0" w:tplc="38368511">
      <w:start w:val="1"/>
      <w:numFmt w:val="decimal"/>
      <w:lvlText w:val="%1."/>
      <w:lvlJc w:val="left"/>
      <w:pPr>
        <w:ind w:left="720" w:hanging="360"/>
      </w:pPr>
    </w:lvl>
    <w:lvl w:ilvl="1" w:tplc="38368511" w:tentative="1">
      <w:start w:val="1"/>
      <w:numFmt w:val="lowerLetter"/>
      <w:lvlText w:val="%2."/>
      <w:lvlJc w:val="left"/>
      <w:pPr>
        <w:ind w:left="1440" w:hanging="360"/>
      </w:pPr>
    </w:lvl>
    <w:lvl w:ilvl="2" w:tplc="38368511" w:tentative="1">
      <w:start w:val="1"/>
      <w:numFmt w:val="lowerRoman"/>
      <w:lvlText w:val="%3."/>
      <w:lvlJc w:val="right"/>
      <w:pPr>
        <w:ind w:left="2160" w:hanging="180"/>
      </w:pPr>
    </w:lvl>
    <w:lvl w:ilvl="3" w:tplc="38368511" w:tentative="1">
      <w:start w:val="1"/>
      <w:numFmt w:val="decimal"/>
      <w:lvlText w:val="%4."/>
      <w:lvlJc w:val="left"/>
      <w:pPr>
        <w:ind w:left="2880" w:hanging="360"/>
      </w:pPr>
    </w:lvl>
    <w:lvl w:ilvl="4" w:tplc="38368511" w:tentative="1">
      <w:start w:val="1"/>
      <w:numFmt w:val="lowerLetter"/>
      <w:lvlText w:val="%5."/>
      <w:lvlJc w:val="left"/>
      <w:pPr>
        <w:ind w:left="3600" w:hanging="360"/>
      </w:pPr>
    </w:lvl>
    <w:lvl w:ilvl="5" w:tplc="38368511" w:tentative="1">
      <w:start w:val="1"/>
      <w:numFmt w:val="lowerRoman"/>
      <w:lvlText w:val="%6."/>
      <w:lvlJc w:val="right"/>
      <w:pPr>
        <w:ind w:left="4320" w:hanging="180"/>
      </w:pPr>
    </w:lvl>
    <w:lvl w:ilvl="6" w:tplc="38368511" w:tentative="1">
      <w:start w:val="1"/>
      <w:numFmt w:val="decimal"/>
      <w:lvlText w:val="%7."/>
      <w:lvlJc w:val="left"/>
      <w:pPr>
        <w:ind w:left="5040" w:hanging="360"/>
      </w:pPr>
    </w:lvl>
    <w:lvl w:ilvl="7" w:tplc="38368511" w:tentative="1">
      <w:start w:val="1"/>
      <w:numFmt w:val="lowerLetter"/>
      <w:lvlText w:val="%8."/>
      <w:lvlJc w:val="left"/>
      <w:pPr>
        <w:ind w:left="5760" w:hanging="360"/>
      </w:pPr>
    </w:lvl>
    <w:lvl w:ilvl="8" w:tplc="38368511" w:tentative="1">
      <w:start w:val="1"/>
      <w:numFmt w:val="lowerRoman"/>
      <w:lvlText w:val="%9."/>
      <w:lvlJc w:val="right"/>
      <w:pPr>
        <w:ind w:left="6480" w:hanging="180"/>
      </w:pPr>
    </w:lvl>
  </w:abstractNum>
  <w:abstractNum w:abstractNumId="26162556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83907767">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96685800">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342637859">
    <w:multiLevelType w:val="hybridMultilevel"/>
    <w:lvl w:ilvl="0">
      <w:start w:val="1"/>
      <w:numFmt w:val="decimal"/>
      <w:lvlText w:val="%1."/>
      <w:lvlJc w:val="left"/>
      <w:pPr>
        <w:ind w:left="720" w:hanging="360"/>
      </w:pPr>
      <w:rPr/>
    </w:lvl>
    <w:lvl w:ilvl="1">
      <w:start w:val="1"/>
      <w:numFmt w:val="lowerRoman"/>
      <w:lvlText w:val="%2."/>
      <w:lvlJc w:val="left"/>
      <w:pPr>
        <w:ind w:left="1440" w:hanging="360"/>
      </w:pPr>
      <w:rPr/>
    </w:lvl>
    <w:lvl w:ilvl="2">
      <w:start w:val=""/>
      <w:numFmt w:val="decimal"/>
      <w:lvlText w:val="%3."/>
      <w:lvlJc w:val="left"/>
      <w:pPr>
        <w:ind w:left="2160" w:hanging="360"/>
      </w:pPr>
      <w:rPr/>
    </w:lvl>
    <w:lvl w:ilvl="3">
      <w:start w:val=""/>
      <w:numFmt w:val="lowerRoman"/>
      <w:lvlText w:val="%4."/>
      <w:lvlJc w:val="left"/>
      <w:pPr>
        <w:ind w:left="2880" w:hanging="360"/>
      </w:pPr>
      <w:rPr/>
    </w:lvl>
    <w:lvl w:ilvl="4">
      <w:start w:val=""/>
      <w:numFmt w:val="decimal"/>
      <w:lvlText w:val="%5."/>
      <w:lvlJc w:val="left"/>
      <w:pPr>
        <w:ind w:left="3600" w:hanging="360"/>
      </w:pPr>
      <w:rPr/>
    </w:lvl>
    <w:lvl w:ilvl="5">
      <w:start w:val=""/>
      <w:numFmt w:val="lowerRoman"/>
      <w:lvlText w:val="%6."/>
      <w:lvlJc w:val="left"/>
      <w:pPr>
        <w:ind w:left="4320" w:hanging="360"/>
      </w:pPr>
      <w:rPr/>
    </w:lvl>
    <w:lvl w:ilvl="6">
      <w:start w:val=""/>
      <w:numFmt w:val="decimal"/>
      <w:lvlText w:val="%7."/>
      <w:lvlJc w:val="left"/>
      <w:pPr>
        <w:ind w:left="5040" w:hanging="360"/>
      </w:pPr>
      <w:rPr/>
    </w:lvl>
    <w:lvl w:ilvl="7">
      <w:start w:val=""/>
      <w:numFmt w:val="lowerRoman"/>
      <w:lvlText w:val="%8."/>
      <w:lvlJc w:val="left"/>
      <w:pPr>
        <w:ind w:left="5760" w:hanging="360"/>
      </w:pPr>
      <w:rPr/>
    </w:lvl>
    <w:lvl w:ilvl="8">
      <w:start w:val=""/>
      <w:numFmt w:val="decimal"/>
      <w:lvlText w:val="%9."/>
      <w:lvlJc w:val="left"/>
      <w:pPr>
        <w:ind w:left="6480" w:hanging="360"/>
      </w:pPr>
      <w:rPr/>
    </w:lvl>
  </w:abstractNum>
  <w:abstractNum w:abstractNumId="687796397">
    <w:multiLevelType w:val="hybridMultilevel"/>
    <w:lvl w:ilvl="0">
      <w:start w:val="1"/>
      <w:numFmt w:val="decimal"/>
      <w:lvlText w:val="%1."/>
      <w:lvlJc w:val="left"/>
      <w:pPr>
        <w:ind w:left="720" w:hanging="360"/>
      </w:pPr>
      <w:rPr/>
    </w:lvl>
    <w:lvl w:ilvl="1">
      <w:start w:val="1"/>
      <w:numFmt w:val="decimal"/>
      <w:lvlText w:val="%2."/>
      <w:lvlJc w:val="left"/>
      <w:pPr>
        <w:ind w:left="1440" w:hanging="360"/>
      </w:pPr>
      <w:rPr/>
    </w:lvl>
    <w:lvl w:ilvl="2">
      <w:start w:val=""/>
      <w:numFmt w:val="bullet"/>
      <w:lvlText w:val="●"/>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bullet"/>
      <w:lvlText w:val=""/>
      <w:lvlJc w:val="left"/>
      <w:pPr>
        <w:ind w:left="4320" w:hanging="360"/>
      </w:pPr>
      <w:rPr>
        <w:rFonts w:ascii="Wingdings" w:hAnsi="Wingdings" w:cs="Wingdings" w:hint="default"/>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bullet"/>
      <w:lvlText w:val=""/>
      <w:lvlJc w:val="left"/>
      <w:pPr>
        <w:ind w:left="6480" w:hanging="360"/>
      </w:pPr>
      <w:rPr>
        <w:rFonts w:ascii="Wingdings" w:hAnsi="Wingdings" w:cs="Wingdings" w:hint="default"/>
      </w:rPr>
    </w:lvl>
  </w:abstractNum>
  <w:abstractNum w:abstractNumId="51266023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7898326">
    <w:multiLevelType w:val="hybridMultilevel"/>
    <w:lvl w:ilvl="0" w:tplc="13779249">
      <w:start w:val="1"/>
      <w:numFmt w:val="decimal"/>
      <w:lvlText w:val="%1."/>
      <w:lvlJc w:val="left"/>
      <w:pPr>
        <w:ind w:left="720" w:hanging="360"/>
      </w:pPr>
    </w:lvl>
    <w:lvl w:ilvl="1" w:tplc="13779249" w:tentative="1">
      <w:start w:val="1"/>
      <w:numFmt w:val="lowerLetter"/>
      <w:lvlText w:val="%2."/>
      <w:lvlJc w:val="left"/>
      <w:pPr>
        <w:ind w:left="1440" w:hanging="360"/>
      </w:pPr>
    </w:lvl>
    <w:lvl w:ilvl="2" w:tplc="13779249" w:tentative="1">
      <w:start w:val="1"/>
      <w:numFmt w:val="lowerRoman"/>
      <w:lvlText w:val="%3."/>
      <w:lvlJc w:val="right"/>
      <w:pPr>
        <w:ind w:left="2160" w:hanging="180"/>
      </w:pPr>
    </w:lvl>
    <w:lvl w:ilvl="3" w:tplc="13779249" w:tentative="1">
      <w:start w:val="1"/>
      <w:numFmt w:val="decimal"/>
      <w:lvlText w:val="%4."/>
      <w:lvlJc w:val="left"/>
      <w:pPr>
        <w:ind w:left="2880" w:hanging="360"/>
      </w:pPr>
    </w:lvl>
    <w:lvl w:ilvl="4" w:tplc="13779249" w:tentative="1">
      <w:start w:val="1"/>
      <w:numFmt w:val="lowerLetter"/>
      <w:lvlText w:val="%5."/>
      <w:lvlJc w:val="left"/>
      <w:pPr>
        <w:ind w:left="3600" w:hanging="360"/>
      </w:pPr>
    </w:lvl>
    <w:lvl w:ilvl="5" w:tplc="13779249" w:tentative="1">
      <w:start w:val="1"/>
      <w:numFmt w:val="lowerRoman"/>
      <w:lvlText w:val="%6."/>
      <w:lvlJc w:val="right"/>
      <w:pPr>
        <w:ind w:left="4320" w:hanging="180"/>
      </w:pPr>
    </w:lvl>
    <w:lvl w:ilvl="6" w:tplc="13779249" w:tentative="1">
      <w:start w:val="1"/>
      <w:numFmt w:val="decimal"/>
      <w:lvlText w:val="%7."/>
      <w:lvlJc w:val="left"/>
      <w:pPr>
        <w:ind w:left="5040" w:hanging="360"/>
      </w:pPr>
    </w:lvl>
    <w:lvl w:ilvl="7" w:tplc="13779249" w:tentative="1">
      <w:start w:val="1"/>
      <w:numFmt w:val="lowerLetter"/>
      <w:lvlText w:val="%8."/>
      <w:lvlJc w:val="left"/>
      <w:pPr>
        <w:ind w:left="5760" w:hanging="360"/>
      </w:pPr>
    </w:lvl>
    <w:lvl w:ilvl="8" w:tplc="13779249" w:tentative="1">
      <w:start w:val="1"/>
      <w:numFmt w:val="lowerRoman"/>
      <w:lvlText w:val="%9."/>
      <w:lvlJc w:val="right"/>
      <w:pPr>
        <w:ind w:left="6480" w:hanging="180"/>
      </w:pPr>
    </w:lvl>
  </w:abstractNum>
  <w:abstractNum w:abstractNumId="27898325">
    <w:multiLevelType w:val="hybridMultilevel"/>
    <w:lvl w:ilvl="0" w:tplc="42761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98325">
    <w:abstractNumId w:val="27898325"/>
  </w:num>
  <w:num w:numId="27898326">
    <w:abstractNumId w:val="27898326"/>
  </w:num>
  <w:num w:numId="512660233">
    <w:abstractNumId w:val="512660233"/>
  </w:num>
  <w:num w:numId="687796397">
    <w:abstractNumId w:val="687796397"/>
  </w:num>
  <w:num w:numId="342637859">
    <w:abstractNumId w:val="342637859"/>
  </w:num>
  <w:num w:numId="696685800">
    <w:abstractNumId w:val="696685800"/>
  </w:num>
  <w:num w:numId="783907767">
    <w:abstractNumId w:val="783907767"/>
  </w:num>
  <w:num w:numId="261625567">
    <w:abstractNumId w:val="261625567"/>
  </w:num>
  <w:num w:numId="27898327">
    <w:abstractNumId w:val="27898327"/>
  </w:num>
  <w:num w:numId="27898328">
    <w:abstractNumId w:val="27898328"/>
  </w:num>
  <w:num w:numId="27898329">
    <w:abstractNumId w:val="27898329"/>
  </w:num>
  <w:num w:numId="27898330">
    <w:abstractNumId w:val="27898330"/>
  </w:num>
  <w:num w:numId="27898331">
    <w:abstractNumId w:val="27898331"/>
  </w:num>
  <w:num w:numId="27898332">
    <w:abstractNumId w:val="27898332"/>
  </w:num>
  <w:num w:numId="27898333">
    <w:abstractNumId w:val="27898333"/>
  </w:num>
  <w:num w:numId="27898334">
    <w:abstractNumId w:val="27898334"/>
  </w:num>
  <w:num w:numId="27898335">
    <w:abstractNumId w:val="27898335"/>
  </w:num>
  <w:num w:numId="27898336">
    <w:abstractNumId w:val="27898336"/>
  </w:num>
  <w:num w:numId="27898337">
    <w:abstractNumId w:val="27898337"/>
  </w:num>
  <w:num w:numId="239284204">
    <w:abstractNumId w:val="239284204"/>
  </w:num>
  <w:num w:numId="193234694">
    <w:abstractNumId w:val="193234694"/>
  </w:num>
  <w:num w:numId="5594010">
    <w:abstractNumId w:val="5594010"/>
  </w:num>
  <w:num w:numId="717855564">
    <w:abstractNumId w:val="717855564"/>
  </w:num>
  <w:num w:numId="185209389">
    <w:abstractNumId w:val="185209389"/>
  </w:num>
  <w:num w:numId="482406982">
    <w:abstractNumId w:val="482406982"/>
  </w:num>
  <w:num w:numId="169162032">
    <w:abstractNumId w:val="169162032"/>
  </w:num>
  <w:num w:numId="40133947">
    <w:abstractNumId w:val="40133947"/>
  </w:num>
  <w:num w:numId="236093552">
    <w:abstractNumId w:val="236093552"/>
  </w:num>
  <w:num w:numId="475866623">
    <w:abstractNumId w:val="475866623"/>
  </w:num>
  <w:num w:numId="299348329">
    <w:abstractNumId w:val="299348329"/>
  </w:num>
  <w:num w:numId="983366025">
    <w:abstractNumId w:val="983366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3001072" Type="http://schemas.openxmlformats.org/officeDocument/2006/relationships/numbering" Target="numbering.xml"/><Relationship Id="rId2698261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