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7272507" w:name="document"/>
    <w:bookmarkEnd w:id="67272507"/>
    <w:p/>
    <w:p>
      <w:pPr>
        <w:widowControl w:val="on"/>
        <w:pBdr/>
        <w:spacing w:before="0" w:after="280" w:line="240" w:lineRule="auto"/>
        <w:ind w:left="0" w:right="0"/>
        <w:jc w:val="left"/>
      </w:pPr>
      <w:r>
        <w:rPr>
          <w:rFonts w:ascii="Arial" w:hAnsi="Arial" w:eastAsia="Arial" w:cs="Arial"/>
          <w:color w:val="363A40"/>
          <w:sz w:val="24"/>
          <w:szCs w:val="24"/>
        </w:rPr>
        <w:t xml:space="preserve">Dokument-ID: 976253 | Wolfgang Steinberger -
Stanislava Doganova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einer GmbH &amp; Co KG (inkl
Gesellschafterausschluss, Wettbewerbs- und Abwerbeverbot,
Kundenschutz)</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140" w:after="240" w:line="288" w:lineRule="auto"/>
        <w:ind w:left="0" w:right="0"/>
        <w:jc w:val="center"/>
      </w:pPr>
      <w:r>
        <w:rPr>
          <w:rFonts w:ascii="Arial" w:hAnsi="Arial" w:eastAsia="Arial" w:cs="Arial"/>
          <w:color w:val="000000"/>
          <w:sz w:val="20"/>
          <w:szCs w:val="20"/>
        </w:rPr>
        <w:t xml:space="preserve">der</w:t>
      </w:r>
      <w:r>
        <w:rPr>
          <w:rFonts w:ascii="Arial" w:hAnsi="Arial" w:eastAsia="Arial" w:cs="Arial"/>
          <w:color w:val="000000"/>
          <w:sz w:val="20"/>
          <w:szCs w:val="20"/>
        </w:rPr>
        <w:br/>
        <w:t xml:space="preserve">X Planungs-GmbH &amp; Co KG</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 Firma, Sitz und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führt die Firma:</w:t>
            </w:r>
          </w:p>
        </w:tc>
      </w:tr>
      <w:tr>
        <w:trPr>
          <w:trHeight w:val="0" w:hRule="atLeast"/>
        </w:trPr>
        <w:tc>
          <w:tcPr>
            <w:tcW w:w="0" w:type="auto"/>
            <w:gridSpan w:val="2"/>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center"/>
              <w:textAlignment w:val="top"/>
            </w:pPr>
            <w:r>
              <w:rPr>
                <w:rFonts w:ascii="Arial" w:hAnsi="Arial" w:eastAsia="Arial" w:cs="Arial"/>
                <w:color w:val="000000"/>
                <w:position w:val="0"/>
                <w:sz w:val="20"/>
                <w:szCs w:val="20"/>
                <w:shd w:val="clear" w:color="auto" w:fill="FFFFFF"/>
              </w:rPr>
              <w:t xml:space="preserve">X Planungs-GmbH &amp; Co KG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die entgeltliche Planung,
Beratung, Gestaltung, Bearbeitung und Durchführung von Aufträgen
auf dem Gebiet des Marketings, der Werbung, der Public Relations,
der Unternehmens- und Personalberatung sowie der
Reproduktionstechnik auf allen damit im Zusammenhang stehenden
Gebieten. Die Gesellschaft kann alle Geschäfte betreiben, die
geeignet sind, dem Unternehmensgegenstand unmittelbar oder
mittelbar zu dienen.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berechtigt, Zweigniederlassungen zu
errichten und sich an anderen Unternehmen, insbesondere als deren
persönlich haftende Gesellschafterin, zu beteiligen.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2 Gesellschaftskapital,
Beteiligung und Einlagen</w:t>
      </w:r>
    </w:p>
    <w:p>
      <w:pPr>
        <w:numPr>
          <w:ilvl w:val="0"/>
          <w:numId w:val="3772911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Einzige unbeschränkt haftende Gesellschafterin ist die Y
Holding GmbH, mit dem Sitz in Wien und der Geschäftsanschrift …
eingetragen zu FN … im Firmenbuch des Handelsgerichts Wien.</w:t>
      </w:r>
    </w:p>
    <w:p>
      <w:pPr>
        <w:numPr>
          <w:ilvl w:val="0"/>
          <w:numId w:val="3772911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Komplementärin leistet keine Kapitaleinlage und ist daher
auch nicht am Kapital der Gesellschaft beteiligt, sondern bloße
Arbeitsgesellschafterin.</w:t>
      </w:r>
    </w:p>
    <w:p>
      <w:pPr>
        <w:numPr>
          <w:ilvl w:val="0"/>
          <w:numId w:val="3772911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 Handels OG, mit dem Sitz in Wien und der Geschäftsanschrift …
eingetragen zu FN … im Firmenbuch des Handelsgerichts Wien,
übernimmt eine Pflichteinlage in Höhe von EUR 10.000,–, die
voll aufgebracht wurde.</w:t>
      </w:r>
    </w:p>
    <w:p>
      <w:pPr>
        <w:numPr>
          <w:ilvl w:val="0"/>
          <w:numId w:val="3772911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über die Pflichteinlage hinausgehende Haftsumme wird von
der Kommanditistin nicht übernommen. Die Kommanditistin ist an der
Gesellschaft mit einem ihrer Pflichteinlage entsprechenden
Gesellschaftsanteil beteiligt.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ist auf unbestimmte Zeit geschlossen. Die
Kündigung der Gesellschaft richtet sich nach § 13
Z 1.</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4 Geschäftsführung und
Vertretung</w:t>
      </w:r>
    </w:p>
    <w:p>
      <w:pPr>
        <w:numPr>
          <w:ilvl w:val="0"/>
          <w:numId w:val="4917033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Zur Geschäftsführung und Vertretung ist die persönlich haftende
Gesellschafterin berechtigt und verpflichtet. Die persönlich
haftende Gesellschafterin übt die Geschäftsführung und Vertretung
durch ihre Organe aus.</w:t>
      </w:r>
    </w:p>
    <w:p>
      <w:pPr>
        <w:numPr>
          <w:ilvl w:val="0"/>
          <w:numId w:val="4917033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Kommanditistin ist sowohl von der Geschäftsführung als auch
von der Vertretung der Gesellschaft ausgeschlossen.</w:t>
      </w:r>
    </w:p>
    <w:p>
      <w:pPr>
        <w:numPr>
          <w:ilvl w:val="0"/>
          <w:numId w:val="4917033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mit der
zweckmäßigen Geschäftsführung verbundenen Auslagen zulasten des
Ergebnisses der Gesellschaft laufend zu ersetzen.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5 Zustimmungsbedürftige
Geschäfte</w:t>
      </w:r>
    </w:p>
    <w:p>
      <w:pPr>
        <w:numPr>
          <w:ilvl w:val="0"/>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vor Beginn eines
jeden Geschäftsjahres einen Budgetplan aufzustellen, der aus einem
Personalplan, einem Finanzplan und einer Ergebnisschätzung für
dieses Geschäftsjahr besteht und der die Einzelposten der Art nach
erkennen lässt. Dieser Budgetplan ist der Gesellschafterversammlung
zur Genehmigung vorzulegen. Maßnahmen, die in einem gebilligten
Budgetplan ausgewiesen sind, bedürfen nicht mehr der Zustimmung gem
Z 2.</w:t>
      </w:r>
    </w:p>
    <w:p>
      <w:pPr>
        <w:numPr>
          <w:ilvl w:val="0"/>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bedarf der vorigen
Zustimmung der Gesellschafterversammlung für folgende Geschäfte der
Gesellschaft, soweit diese nicht gem Z 1 bereits erteilt
wurde:
</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Grundstücken,
grundstücksgleichen Rechten und Rechten an Grundstücken oder von
Wirtschaftsgütern des Anlagevermögens sowie Neu- und Umbauten</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Wertpapieren, Erwerb von und
Verfügungen über Beteiligungen an anderen Unternehmen, der
Abschluss, die Änderung oder die Aufhebung von
Unternehmensverträgen und die Eingehung, Änderung oder Beendigung
von stillen Gesellschaftsverhältnissen, Aufnahme neuer und Aufgabe
vorhandener Geschäftszweige und Tätigkeitsgebiete, Erwerb oder
Veräußerung von Betrieben oder Betriebsteilen, Errichtung oder
Aufhebung von Zweigniederlassungen oder Zweigbetrieben</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Übernahme von Bürgschaften, Garantien oä Haftungen außerhalb
des üblichen Geschäftsbetriebes</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und Aufnahme von Darlehen und sonstigen Krediten
sowie Eingehung von Wechselverbindlichkeiten außerhalb des üblichen
Geschäftsbetriebes mit Ausnahme der Gewährung von Darlehen an
Betriebsangehörige, die im Einzelfall EUR 5.000,– pa nicht
überschreiten dürfen</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Einstellung von Angestellten oder sonstigen Mitarbeitern, sowie
die Beschäftigung von freien Mitarbeitern mit einem Jahreseinkommen
einschließlich aller geldwerten Leistungen von mehr als
EUR 70.000,– brutto und unabhängig davon stets die Gewährung
von Tantiemen oder Pensionszusagen; die Änderung oder Beendigung
von Anstellungsverträgen mit geschäftsführenden Gesellschaftern von
Tochtergesellschaften oder anderen Gesellschaften, an denen die
Gesellschaft unmittelbar oder mittelbar beteiligt ist, bedarf nicht
der Zustimmung der Gesellschafterversammlung. Die Gesellschafter
sind jedoch unverzüglich von derartigen Änderungen oder
Beendigungen schriftlich zu informieren.</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Änderung oder Beendigung von Verträgen der
Gesellschaft mit Gesellschaftern, Ehegatten oder Abkömmlingen von
Gesellschaftern</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von Pacht-, Miet-, Lizenz- oder ähnlichen
Dauerschuldverhältnissen, sofern der jeweilige Vertrag eine Dauer
von mehr als fünf Jahren hat und die voraussichtlichen
Verpflichtungen der Gesellschaft aus dem jeweiligen Vertrag während
seiner Mindestlaufzeit den Betrag von insgesamt EUR 35.000,–
pa überschreiten</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Rechtsgeschäfte außerhalb des üblichen Geschäftsbetriebes von
wesentlicher Bedeutung, was auch Spekulationsgeschäfte jeglicher
Art einschließt</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Stimmabgabe in Gesellschafterversammlungen von Gesellschaften,
an denen die Gesellschaft direkt oder indirekt beteiligt ist
(Beteiligungsgesellschaften), soweit folgende Themen Gegenstand der
Beschlussfassung sind:
</w:t>
      </w:r>
    </w:p>
    <w:p>
      <w:pPr>
        <w:numPr>
          <w:ilvl w:val="2"/>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 des Gesellschaftsvertrages und Abweichung von den
Regeln dieses Gesellschaftsvertrages</w:t>
      </w:r>
    </w:p>
    <w:p>
      <w:pPr>
        <w:numPr>
          <w:ilvl w:val="2"/>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Entscheidungen über den Budgetplan</w:t>
      </w:r>
    </w:p>
    <w:p>
      <w:pPr>
        <w:numPr>
          <w:ilvl w:val="2"/>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Feststellung des Jahresabschlusses und der Gewinnverwendung
sowie</w:t>
      </w:r>
    </w:p>
    <w:p>
      <w:pPr>
        <w:numPr>
          <w:ilvl w:val="2"/>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Erlass oder Änderung einer Geschäftsordnung für die
Geschäftsführung</w:t>
      </w:r>
    </w:p>
    <w:p>
      <w:pPr>
        <w:numPr>
          <w:ilvl w:val="1"/>
          <w:numId w:val="4341299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und Änderung von Dienstleistungsverträgen zwischen
der Gesellschaft und mit ihr verbundenen Gesellschaften, sofern
diese Verträge eine Laufzeit von mehr als einem Jahr haben</w:t>
      </w:r>
    </w:p>
    <w:p>
      <w:pPr>
        <w:widowControl w:val="on"/>
        <w:pBdr/>
        <w:spacing w:before="140" w:after="240" w:line="288" w:lineRule="auto"/>
        <w:ind w:left="0" w:right="0"/>
        <w:jc w:val="left"/>
      </w:pPr>
      <w:r>
        <w:rPr>
          <w:rFonts w:ascii="Arial" w:hAnsi="Arial" w:eastAsia="Arial" w:cs="Arial"/>
          <w:color w:val="000000"/>
          <w:sz w:val="20"/>
          <w:szCs w:val="20"/>
        </w:rPr>
        <w:t xml:space="preserve">Verändert sich nach dem 01.01.20…, der für den Monat Januar
eines Kalenderjahres, der von der Statistik Austria festgestellte
Verbraucherpreisindex gegenüber dem Stand von Januar 20… um
mindestens 10 %, verändern sich die in Buchstaben d), e) und
g) genannten Höchstbeträge mit Wirkung ab Beginn des
darauffolgenden Geschäftsjahres im gleichen Verhältnis. Eine
entsprechende Veränderung tritt ein, sobald sich der
Verbraucherpreisindex für den Monat Januar eines folgenden Jahres
gegenüber dem Stand, der zur letzten Veränderung geführt hat,
wieder um mindestens 10 % verändert hat.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Gesellschafterversammlung kann den Katalog der
zustimmungsbedürftigen Geschäfte durch Gesellschafterbeschluss
erweitern.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6 Wettbewerbsverbot,
Kundenschutz und Abwerbeverbot</w:t>
      </w:r>
    </w:p>
    <w:p>
      <w:pPr>
        <w:numPr>
          <w:ilvl w:val="0"/>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Gesellschaftern, die eine natürliche Person sind, ist es
untersagt, die Gesellschaft mittelbar oder unmittelbar,
gelegentlich oder gewerbsmäßig, unter eigenem oder unter fremden
Namen, für eigene oder fremde Rechnung in einem Geschäftszweig der
Gesellschaft Wettbewerb zu machen oder sich als Mitunternehmer an
einem Konkurrenzunternehmen zu beteiligen („Wettbewerbsverbot“).
Ausgenommen hiervon sind Tätigkeiten für Gesellschaften der
X-Planungs-Firmengruppe. Die Gesellschafterversammlung kann durch
Beschluss Befreiungen und Modifizierungen dieses
Wettbewerbsverbotes zulassen.</w:t>
      </w:r>
    </w:p>
    <w:p>
      <w:pPr>
        <w:numPr>
          <w:ilvl w:val="0"/>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untersagt, während der
Dauer von 1 Jahr nach ihrem Ausscheiden, als Gesellschafter aus der
Gesellschaft unmittelbar oder mittelbar durch Handeln oder
Unterlassen, Kunden der Gesellschaft abzuwerben („Kundenschutz“).
Diese Pflicht gilt unabhängig von dem Grund des Ausscheidens des
Gesellschafters aus der Gesellschaft. Kunden im Sinne dieser
Regelung sind solche Unternehmen oder Personen, die während der
letzten 2 Jahre – bzw falls der Gesellschaftsführer weniger als 2
Jahre bei der Gesellschaft tätig war, für die Zeit, die der
Geschäftsführer für die Gesellschaft tätig war – vor dem
Ausscheiden des Gesellschafters Geschäftskontakte zu
</w:t>
      </w:r>
    </w:p>
    <w:p>
      <w:pPr>
        <w:numPr>
          <w:ilvl w:val="1"/>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 oder</w:t>
      </w:r>
    </w:p>
    <w:p>
      <w:pPr>
        <w:numPr>
          <w:ilvl w:val="1"/>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an denen die Gesellschaft mittelbar oder
unmittelbar beteiligt ist oder innerhalb der letzten 2 Jahre vor
dem Ausscheiden des Gesellschafters beteiligt war, oder</w:t>
      </w:r>
    </w:p>
    <w:p>
      <w:pPr>
        <w:numPr>
          <w:ilvl w:val="1"/>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für die der Gesellschafter in den letzten 2 Jahren vor seinem
Ausscheiden als Geschäftsführer oder im Rahmen eines
Arbeitsverhältnisses tätig war, oder</w:t>
      </w:r>
    </w:p>
    <w:p>
      <w:pPr>
        <w:numPr>
          <w:ilvl w:val="1"/>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an denen der Gesellschafter eine Beteiligung hält oder in den
letzten 2 Jahren vor seinem Ausscheiden hielt, unterhalten haben.
Die Gesellschaft wird mit dem Gesellschafter im Zeitpunkt seines
Ausscheidens aus der Gesellschaft eine Liste mit den Kunden im
Sinne der Punkte (ii)–(iv) dieser Ziffer überreichen. Die
Gesellschafterversammlung kann durch Beschluss die Dauer dieser
Kundenschutzklausel reduzieren, sofern der ausscheidende
Gesellschafter weniger als ein Jahr Gesellschafter der Gesellschaft
gewesen ist.</w:t>
      </w:r>
    </w:p>
    <w:p>
      <w:pPr>
        <w:numPr>
          <w:ilvl w:val="0"/>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ferner untersagt, während
der Dauer von 6 Monaten nach ihrem Ausscheiden als Gesellschafter
aus der Gesellschaft unmittelbar oder mittelbar Mitarbeiter der
Gesellschaft für eigene oder fremde Zwecke abzuwerben. Diese
Pflicht gilt unabhängig von dem Grund des Ausscheidens des
Gesellschafters aus der Gesellschaft. Mitarbeiter im Sinne dieser
Regelung sind solche Personen, die im Zeitpunkt des Ausscheidens
des Gesellschafters bei der Gesellschaft oder mit der Gesellschaft
verbundenen Unternehmen iSd § 15 AktG angestellt sind
(„Abwerbeverbot“).</w:t>
      </w:r>
    </w:p>
    <w:p>
      <w:pPr>
        <w:numPr>
          <w:ilvl w:val="0"/>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Alle dem Wettbewerbsverbot der Z 1 unterliegenden
Gesellschafter sind verpflichtet, über sämtliche Angelegenheiten
der Gesellschaft, ihrer persönlich haftenden Gesellschafterin und
ihrer Beteiligungsgesellschaften auch nach ihrem Ausscheiden
strengstes Stillschweigen zu bewahren. Ausgenommen hiervon sind
Mitteilungen an Personen, die kraft Gesetzes zur Verschwiegenheit
verpflichtet sind, soweit dies zur Wahrung eigener berechtigter
Interessen des Gesellschafters erforderlich ist. Diese Pflicht gilt
unabhängig von dem Grund des Ausscheidens des Gesellschafters aus
der Gesellschaft.</w:t>
      </w:r>
    </w:p>
    <w:p>
      <w:pPr>
        <w:numPr>
          <w:ilvl w:val="0"/>
          <w:numId w:val="939655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jeden Fall eines Verstoßes gegen die aus Z 1, Z 2
und Z 3 folgenden Pflichten durch den Gesellschafter ist der
Gesellschafter verpflichtet, der Gesellschaft eine Vertragsstrafe
in der Höhe von EUR 10.000,– zu zahlen. Jede versuchte oder
erfolgreiche Abwerbung eines Kunden oder eines Mitarbeiters gilt
pro Kunde/Mitarbeiter als gesonderter Verstoß. Im Fall eines
fortgesetzten Verstoßes ist die Vertragsstrafe für jeden
angefangenen Monat, in dem der Verstoß anhält, erneut an die
Gesellschaft zu zahlen. Bei Verwirkung mehrerer Vertragsstrafen ist
der Gesamtbetrag der zu zahlenden Vertragsstrafen auf
EUR 60.000,– begrenzt. Die Zahlung der Vertragsstrafe lässt
die Geltendmachung eines weiteren Schadens unberührt.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7 Gesellschafterversammlung
und Gesellschafterbeschlüsse</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jedem Geschäftsjahr finden in der Regel zwei
Gesellschafterversammlungen statt, und zwar etwa in der Mitte des
Geschäftsjahres und gegen Ende des Geschäftsjahres. Soweit dies im
Interesse der Gesellschaft erforderlich ist oder von einem
Gesellschafter verlangt wird, sind zusätzliche außerordentliche
Gesellschafterversammlungen einzuberufen.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werden durch die persönlich
haftende Gesellschafterin einberufen. Die Einberufung erfolgt durch
eingeschriebenen Brief, Telefax oder E-Mail an jeden Gesellschafter
unter Angabe von Ort, Tag, Zeit und Tagesordnung mit einer Frist
von mindestens zwei Wochen. Der Lauf der Frist beginnt im Fall der
Einladung per Telefax oder E-Mail mit Absendung der Einladung,
ansonsten zwei Tage nach ihrer Absendung. Der Tag der Versendung
und der Tag der Gesellschafterversammlung wird bei der Berechnung
der Frist nicht mitgezählt.</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finden in Wien statt, sofern nicht
alle Gesellschafter mit einem anderen Ort einverstanden sind.</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Abstimmungen können die Gesellschafter ihr Stimmrecht
im Weg elektronischer Kommunikation ausüben und auf diese Weise
gegebenenfalls auch Widerspruch erheben.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bestimmen, mit Mehrheit der abgegebenen
Stimmen, aus ihrer Mitte den Vorsitzenden, der die
Gesellschafterversammlung leitet, den Ablauf der Versammlung sowie
der Abstimmungen bestimmt und die Beschlussfähigkeit der
Gesellschafterversammlung und die Fassung von
Gesellschafterbeschlüssen feststellt. Er kann zu den
Gesellschafterversammlungen Mitarbeiter der Gesellschaft,
Mitarbeiter von Beteiligungsgesellschaften und sonstige
Sachverständige und Auskunftspersonen hinzuziehen, sofern er deren
Anhörung zur Unterrichtung der Gesellschafter für erforderlich
hält.</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sind nur beschlussfähig, wenn
Gesellschafter anwesend oder vertreten sind, die zusammen
mindestens 50 % des Gesellschaftskapitals halten.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sollen in der Regel persönlich an
Gesellschafterversammlungen teilnehmen. Die Gesellschafter können
sich durch einen anderen vertreten lassen. Die Vollmacht muss
schriftlich erteilt sein, bei Beginn der Gesellschafterversammlung
vorgelegt werden und verbleibt bei der Gesellschaft.</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in Gesellschafterversammlungen
gefasst. Außerhalb von Gesellschafterversammlungen können
Beschlüsse auch durch schriftliche, fernschriftliche, per E-Mail
oder mündliche auch fernmündliche Abstimmung oder eine Kombination
der vorgenannten Möglichkeiten, gefasst werden, soweit nicht
zwingendes Recht eine andere Form vorschreibt und sich jeder
Gesellschafter an der Abstimmung beteiligt.</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mit der Mehrheit der insgesamt
vorhandenen und nicht ausgeschlossenen Stimmen gefasst, soweit
nicht das Gesetz oder der Gesellschaftsvertrag eine größere
Mehrheit vorsehen. Je EUR 50,– einer Kapitaleinlage eines
Gesellschafters gewähren eine Stimme. Stimmenthaltungen gelten als
Nein-Stimmen. Die persönlich haftende Gesellschafterin besitzt
Stimmrechte nur, soweit dies in diesem Gesellschaftsvertrag
ausdrücklich vorgesehen ist. Mit den Stimmen eines Gesellschafters
kann nur einheitlich abgestimmt werden.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sind stets auch in eigenen Angelegenheiten
stimmberechtigt, soweit dem nicht zwingende gesetzliche
Vorschriften oder dieser Vertrag entgegenstehen.</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Gesellschafterversammlungen und Beschlüsse ist, sofern es
sich nicht um schriftliche, durch die Gesellschafter unterzeichnete
Beschlüsse handelt, jeweils eine Niederschrift anzufertigen, die
vom Vorsitzenden der Gesellschafterversammlung oder der
Geschäftsführung der Gesellschaft unterzeichnet werden muss. In der
Niederschrift sind Tag und Ort der Gesellschafterversammlung, die
Teilnehmer, die Gegenstände der Tagesordnung, eventuelle Anträge
und die Ergebnisse der Abstimmungen aufzunehmen. Jedem
Gesellschafter ist unverzüglich eine Kopie dieser Niederschrift
zuzuleiten, damit der Inhalt gilt als richtig, wenn der
Gesellschafter nicht binnen zwei Wochen nach Empfang gegenüber dem
Vorsitzenden der Gesellschafterversammlung oder gegebenenfalls der
Geschäftsführung der Gesellschaft schriftlich unter Angabe von
Gründen widerspricht.</w:t>
      </w:r>
    </w:p>
    <w:p>
      <w:pPr>
        <w:numPr>
          <w:ilvl w:val="0"/>
          <w:numId w:val="2634454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Unwirksamkeit und die Anfechtbarkeit von
Gesellschafterbeschlüssen kann nur binnen einer Ausschlussfrist von
acht Wochen nach Empfang der Niederschrift über die
Gesellschafterversammlung durch Klage geltend gemacht werden. Nach
Ablauf dieser Frist gilt ein etwaiger Mangel als geheilt.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8 Geschäftsjahr und
Jahresabschluss</w:t>
      </w:r>
    </w:p>
    <w:p>
      <w:pPr>
        <w:numPr>
          <w:ilvl w:val="0"/>
          <w:numId w:val="9414915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Geschäftsjahr ist mit dem Kalenderjahr identisch.</w:t>
      </w:r>
    </w:p>
    <w:p>
      <w:pPr>
        <w:numPr>
          <w:ilvl w:val="0"/>
          <w:numId w:val="9414915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innerhalb der
gesetzlichen Fristen den Jahresabschluss unter Beachtung der
ertragsteuerlichen Regeln aufzustellen, soweit nicht zwingende
unternehmensrechtliche Bestimmungen etwas anderes bestimmen, und
diesen unverzüglich den Gesellschaftern vorzulegen. Die Vorlage hat
mindestens zwei Wochen vor der ersten ordentlichen
Gesellschafterversammlung nach dem Ende des jeweiligen
Geschäftsjahres zu erfolgen. Die Feststellung des Jahresabschlusses
erfolgt durch Gesellschafterbeschluss.</w:t>
      </w:r>
    </w:p>
    <w:p>
      <w:pPr>
        <w:numPr>
          <w:ilvl w:val="0"/>
          <w:numId w:val="9414915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Geschäftsführer stellen folgende Unterlagen zur Verfügung:
</w:t>
      </w:r>
    </w:p>
    <w:p>
      <w:pPr>
        <w:numPr>
          <w:ilvl w:val="1"/>
          <w:numId w:val="9414915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Monatliche Finanz- und Geschäftsinformationen, einschließlich
von Finanzberichten</w:t>
      </w:r>
    </w:p>
    <w:p>
      <w:pPr>
        <w:numPr>
          <w:ilvl w:val="1"/>
          <w:numId w:val="9414915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Jahresbudget gefolgt von vier (4) vierteljährlichen
Budgetaktualisierungen und</w:t>
      </w:r>
    </w:p>
    <w:p>
      <w:pPr>
        <w:numPr>
          <w:ilvl w:val="1"/>
          <w:numId w:val="9414915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Einen geprüften und testierten Jahresabschluss, spätestens
hundertzwanzig (120) Tage nach Ende des Geschäftsjahres</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9 Gesellschafterkonten</w:t>
      </w:r>
    </w:p>
    <w:p>
      <w:pPr>
        <w:numPr>
          <w:ilvl w:val="0"/>
          <w:numId w:val="6080713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 2 genannten Kapitaleinlagen der Gesellschafter
werden für jeden Gesellschafter auf einem als Kapitalkonto I
bezeichneten Konto verbucht. Diese Konten werden als Festkonten
geführt. Eine Veränderung der Konten bedarf einer Änderung dieses
Gesellschaftsvertrages. Die Beteiligung der Gesellschafter an der
Gesellschaft bemisst sich nach dem Kapitalkonto I.</w:t>
      </w:r>
    </w:p>
    <w:p>
      <w:pPr>
        <w:numPr>
          <w:ilvl w:val="0"/>
          <w:numId w:val="6080713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Neben dem Kapitalkonto I werden für jeden Gesellschafter ein
Kapitalkonto II, ein Verlustvortragskonto sowie ein Privatkonto
eingerichtet:
</w:t>
      </w:r>
    </w:p>
    <w:p>
      <w:pPr>
        <w:numPr>
          <w:ilvl w:val="1"/>
          <w:numId w:val="6080713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Kapitalkonto II werden die Gewinnanteile verbucht,
soweit sie nach Ausgleich des Verlustvortragskontos auf Beschluss
der Gesellschafterversammlung nicht dem Privatkonto, sondern dem
Kapitalkonto II der Gesellschafter zugeführt werden.</w:t>
      </w:r>
    </w:p>
    <w:p>
      <w:pPr>
        <w:numPr>
          <w:ilvl w:val="1"/>
          <w:numId w:val="6080713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Verlustvortragskonto werden die Verlustanteile
gebucht.</w:t>
      </w:r>
    </w:p>
    <w:p>
      <w:pPr>
        <w:numPr>
          <w:ilvl w:val="1"/>
          <w:numId w:val="6080713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Privatkonto werden die nach Ausgleich des
Verlustvortragskontos zur Ausschüttung gelangenden Gewinne, sowie
der Zahlungsverkehr mit dem Gesellschafter verbucht. Ist das
Privatkonto zum Zeitpunkt des Ausscheidens eines Gesellschafter
negativ, ist es von ihm auszugleichen.</w:t>
      </w:r>
    </w:p>
    <w:p>
      <w:pPr>
        <w:numPr>
          <w:ilvl w:val="0"/>
          <w:numId w:val="6080713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Verzinsung der Konten findet nicht statt.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10 Gewinn- und
Verlustverteilung, Entnahmen</w:t>
      </w:r>
    </w:p>
    <w:p>
      <w:pPr>
        <w:numPr>
          <w:ilvl w:val="0"/>
          <w:numId w:val="9335932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Auslagen zu
erstatten, die mit der Geschäftsführung zusammenhängen.
Voraussetzung ist jedoch, dass die Verträge/Vereinbarungen zwischen
ihr und ihren Geschäftsführern von der Gesellschafterversammlung
gebilligt worden sind. Daneben erhält die persönlich haftende
Gesellschafterin eine jährlich, jeweils am Ende eines
Geschäftsjahres zu zahlende Haftungsvergütung in Höhe von 6 %
ihres eingezahlten Stammkapitals, das zu Beginn des Geschäftsjahres
in ihrer Bilanz ausgewiesen ist. Die Auslagen und die
Haftungsvergütung der persönlich haftenden Gesellschafterin sowie
etwaige Tätigkeitsvergütungen eines Gesellschafters werden
gewinnmindernd als Aufwand der Gesellschaft behandelt und auch dann
gezahlt, wenn die Gesellschaft in dem Geschäftsjahr einen Verlust
erwirtschaftet hat.</w:t>
      </w:r>
    </w:p>
    <w:p>
      <w:pPr>
        <w:numPr>
          <w:ilvl w:val="0"/>
          <w:numId w:val="9335932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 dem verbleibenden Gewinn sowie an einem etwaigen Verlust des
Geschäftsjahres nehmen die Gesellschafter im Verhältnis ihrer
Kapitalbeteiligung (Kapitalkonto I) teil (Gewinnanteile bzw
Verlustanteile). Die gesetzlichen Vorschriften über die
Haftungsbeschränkung der Kommanditisten bleiben unberührt, die
Kommanditisten sind der persönlich haftenden Gesellschafterin
gegenüber in keinem Fall freistellungspflichtig.</w:t>
      </w:r>
    </w:p>
    <w:p>
      <w:pPr>
        <w:numPr>
          <w:ilvl w:val="0"/>
          <w:numId w:val="9335932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Verlustanteile eines Geschäftsjahres werden, vorbehaltlich
Z 4, in dem Jahresabschluss dieses Geschäftsjahres auf dem
Verlustvortragskonto gebucht. Soweit das Verlustvortragskonto noch
einen Verlust ausweist, ist dieser zunächst durch spätere
Gewinnanteile auszugleichen. Nach Ausgleich des
Verlustvortragskontos verbleibende Gewinnanteile eines
Geschäftsjahres werden vorbehaltlich Z 4 in dem
Jahresabschluss dieses Geschäftsjahres dem Privatkonto
gutgeschrieben.</w:t>
      </w:r>
    </w:p>
    <w:p>
      <w:pPr>
        <w:numPr>
          <w:ilvl w:val="0"/>
          <w:numId w:val="9335932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beschließen, dass die
Gewinnanteile der Gesellschafter vollständig oder teilweise nicht
dem Privatkonto, sondern dem Kapitalkonto II zugeführt werden.
Guthaben auf dem Kapitalkonto II reduzieren sich auf etwaige
zukünftige Verluste. Die Gesellschafterversammlung kann
beschließen, dass Guthaben auf dem Kapitalkonto II auf das
Privatkonto der Gesellschafter umgebucht werden.</w:t>
      </w:r>
    </w:p>
    <w:p>
      <w:pPr>
        <w:numPr>
          <w:ilvl w:val="0"/>
          <w:numId w:val="9335932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Entnahmen zulasten der Kapitalkonten I und II sind unzulässig.
Guthaben auf den Privatkonten werden in Höhe der gemäß Ziffer 3 und
4 erfolgten Gutschrift innerhalb von zwei Wochen nach Fassung des
Gesellschafterbeschlusses über den Jahresabschluss ausgezahlt.
Darüber hinausgehende Auszahlungen von Guthaben auf dem jeweiligen
Privatkonto erfolgen binnen 4 Wochen nach schriftlicher
Aufforderung durch den betreffenden Gesellschafter an die
Gesellschaft.</w:t>
      </w:r>
    </w:p>
    <w:p>
      <w:pPr>
        <w:numPr>
          <w:ilvl w:val="0"/>
          <w:numId w:val="9335932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Gesellschafter aus, hat er sein
Verlustvortragskonto einschließlich der auf ihn entfallenden
Verlustanteile des dem Ausscheiden vorangehenden Geschäftsjahres
auszugleichen.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11 Tätigkeitsbeteiligung</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die eine natürliche Person sind, können nicht
auf Dauer, sondern nur solange Gesellschafter sein, wie sie
Geschäftsführer der persönlich haftenden Gesellschafterin, der
Gesellschaft oder einer anderen Gesellschaft der X-Planungs-
Firmengruppe bzw der Gesellschaft sind
(Tätigkeitsbeteiligung).</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solcher Gesellschafter, gleich aus welchem Grund
(Abberufung, Entziehung, Kündigung, Tod etc) nicht mehr
Geschäftsführer der persönlich haftenden Gesellschafterin, der
Gesellschaft oder einer anderen Gesellschaft der
X-Planungs-Firmengruppe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veräußerungspflichtiger
Gesellschafter</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 hat er seinen
Gesellschaftsanteil der Gesellschafterin mit der größten
Beteiligung an der Gesellschaft bzw nach entsprechendem Beschluss
der Gesellschafterversammlung einem Dritten zum Kauf anzubieten.
Der Angebotsempfänger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Erwerber</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 hat das Angebot
innerhalb von drei (3) Monaten nach Zugang anzunehmen.</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Kaufpreis erhält der veräußerungspflichtige Gesellschafter
von dem Erwerber das 2,5-Fache des Durchschnitts der auf den
Gesellschaftsanteil des veräußerungspflichtigen Gesellschafters
entfallenden modifizierten Jahresergebnisse (gemäß nachfolgender
Definition) der letzten drei (3) vor dem Ausscheiden
abgeschlossenen Geschäftsjahre. Die modifizierten Jahresergebnisse
(dh modifizierte Jahresüberschüsse oder modifizierte
Jahresfehlbeträge) sind auf Basis der festgestellten
Handelsbilanzen der Gesellschaft, der jeweiligen Geschäftsjahre,
wie folgt, zu berechnen:
</w:t>
      </w:r>
    </w:p>
    <w:p>
      <w:pPr>
        <w:numPr>
          <w:ilvl w:val="1"/>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Handelsbilanzieller Jahresüberschuss bzw handelsbilanzieller
Jahresfehlbetrag (nach Abzug von Ertragssteuern sowie von
Tätigkeitsvergütungen und etwaigem Unternehmerlohn)</w:t>
      </w:r>
    </w:p>
    <w:p>
      <w:pPr>
        <w:numPr>
          <w:ilvl w:val="1"/>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Zuzüglich/steuerliche Bewertungsdifferenzen</w:t>
      </w:r>
      <w:r>
        <w:rPr>
          <w:rFonts w:ascii="Arial" w:hAnsi="Arial" w:eastAsia="Arial" w:cs="Arial"/>
          <w:color w:val="000000"/>
          <w:sz w:val="20"/>
          <w:szCs w:val="20"/>
        </w:rPr>
        <w:br/>
        <w:t xml:space="preserve">abzüglich</w:t>
      </w:r>
    </w:p>
    <w:p>
      <w:pPr>
        <w:numPr>
          <w:ilvl w:val="1"/>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nicht berücksichtigte Jahresüberschüsse von
Tochterunternehmen, soweit sie nicht in den drei maßgeblichen
Geschäftsjahren gewinnerhöhend an die Gesellschaft ausgeschüttet
wurden (Thesaurierung bzw Zwangsthesaurierung infolge
Verlustnutzung)</w:t>
      </w:r>
    </w:p>
    <w:p>
      <w:pPr>
        <w:numPr>
          <w:ilvl w:val="1"/>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Abzüglich nicht berücksichtigte Jahresfehlbeträge von
Tochterunternehmen soweit sie nicht in den drei maßgeblichen
Geschäftsjahren bei der Gesellschaft gewinnmindernd berücksichtigt
wurden</w:t>
      </w:r>
    </w:p>
    <w:p>
      <w:pPr>
        <w:numPr>
          <w:ilvl w:val="1"/>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eventueller Beteiligungsabschreibungen wegen
Verlusten, soweit die den Abschreibungen zugrunde liegenden
Verluste als Jahresfehlbeträge gem Z (4) berücksichtigt wurden
(dh betragsmäßig bis zur Höhe der unter Z [4] berücksichtigten
Verluste)</w:t>
      </w:r>
      <w:r>
        <w:rPr>
          <w:rFonts w:ascii="Arial" w:hAnsi="Arial" w:eastAsia="Arial" w:cs="Arial"/>
          <w:color w:val="000000"/>
          <w:sz w:val="20"/>
          <w:szCs w:val="20"/>
        </w:rPr>
        <w:br/>
        <w:t xml:space="preserve">= „modifiziertes Jahresergebnis“</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Berechnung des Kaufpreises erfolgt durch die X-Planungs
Holding GmbH zum Übertragungsstichtag sobald der Jahresabschluss
der Gesellschaft für das vorangegangene, abgeschlossene
Geschäftsjahr vorliegt. Die Gesellschaft teilt den Kaufpreis für
den zu veräußernden Teilkommanditanteil den Parteien schriftlich,
fernschriftlich oder per E-Mail mit (die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Kaufpreismitteilung“).</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bereits
festgestellt, ist der gemäß den vorstehenden Regelungen ermittelte
Kaufpreis drei (3) Wochen nach Zugang der Mitteilung des
Kaufpreises an den veräußerungspflichtigen Gesellschafter und den
Erwerber durch die Gesellschaft zur Zahlung fällig.</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noch nicht
festgestellt, ist zunächst ein vorläufiger Verkaufspreis auf der
Grundlage der festgestellten Handelsbilanzen der beiden
vorausgegangenen, abgeschlossenen Geschäftsjahre und der zum
Zeitpunkt des Ausscheidens für das dem Ausscheiden unmittelbar
vorausgegangenen, abgeschlossenen Geschäftsjahr verfügbaren Daten
zu schätzen. Der vorläufige Verkaufspreis beträgt maximal 80 %
des 2,5-Fachen des Durchschnitts der auf den Teilkommanditanteil
des Veräußerungspflichtigen Gesellschafters entfallenden
modifizierten Jahresergebnisse der letzten zwei (2) vor dem
Ausscheiden festgestellten Jahresabschlüsse („Vorläufiger
Kaufpreis“).</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vorläufige Kaufpreis ist durch die X-Planungs Holding GmbH
zu ermitteln und dem Erwerber und dem veräußerungspflichtigen
Gesellschafter mitzuteilen. Der vorläufige Kaufpreis ist innerhalb
von drei (3) Wochen nach dem Zugang der Mitteilung über die Höhe
des vorläufigen Kaufpreises Zug um Zug gegen Übertragung des
Gesellschaftsanteils durch den veräußernden Gesellschafter zur
Zahlung durch den Erwerber fällig.</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Sobald der Jahresabschluss für das dem Ausscheiden des
Gesellschafters unmittelbar vorausgegangene, abgeschlossene
Geschäftsjahr festgestellt ist, ist der endgültige Kaufpreis zu
ermitteln. Innerhalb von vier (4) Wochen nach Mitteilung des so
ermittelten endgültigen Kaufpreises an den Gesellschafter ist eine
etwaige positive Differenz zum vorläufigen Kaufpreis (dh der
endgültige Kaufpreis ist höher als der vorläufige Kaufpreis) von
dem Erwerber an den ausscheidenden Gesellschafter zu zahlen und
eine etwaige negative Differenz zum vorläufigen Kaufpreis (dh der
endgültige Kaufpreis ist niedriger als der vorläufige Kaufpreis)
von dem ausscheidenden Gesellschafter an den Erwerber des
Gesellschaftsanteils zu zahlen.</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Durchschnitt der in den letzten drei, vor dem
Ausscheiden, abgeschlossenen Geschäftsjahre aus den
Gesellschaftsanteil des Gesellschafters nach Abzug von Ertragsteuer
sowie von Tätigkeitsvergütungen entfallenden Jahresergebnisse
negativ, beträgt der Kaufpreis EUR 1,– (eins).</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ist berechtigt, von dem Kaufpreis einen Betrag in
der Höhe des Verlustvortragskontos (einschließlich der auf dem
Ausscheidenden entfallenden Verlustanteile des dem Ausscheiden
vorangehenden Geschäftsjahres) sowie eines gegebenenfalls negativen
Privatkontos des ausscheidenden Gesellschafters als anteilige
Erfüllung der Kaufpreisschuld direkt an die Gesellschaft als
Ausgleich des Verlustvortragskonto sowie gegebenenfalls des
negativen Privatkontos zu zahlen.</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erwirbt den Gesellschaftsanteil des Ausscheidenden
zusammen mit dessen Kapitalkonto I. Ein zum Ablauf des dem
Ausscheiden vorangehenden Geschäftsjahres („Stichtag“) bestehendes
Guthaben auf seinem Kapitalkonto II abzüglich eventueller Beträge
auf seinem Verlustvortragskonto (einschließlich der auf dem
Ausscheidenden entfallenden Verlustanteile das dem Ausscheiden
vorangehenden Geschäftsjahres) sind dem Ausscheidenden von der
Gesellschaft mit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numPr>
          <w:ilvl w:val="0"/>
          <w:numId w:val="1830581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Findet mit Zustimmung der Gesellschafterversammlung eine
Veräußerung der Tätigkeitsbeteiligung an Dritte statt (§ 12),
steht dem die Tätigkeitsbeteiligung haltenden Gesellschafter von
dem Dritten zu zahlenden Kaufpreis nur der Teil zu, der dem
Kaufpreis gem § 11 Z 3 entspricht. Ein darüber
hinausgehender Kaufpreis ist an die Gesellschafterin mit der
größten Beteiligung zu zahlen.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Das Verfügen über Gesellschaftsanteile, Belastungen des
Gesellschaftsanteils und die Einräumung einer Unterbeteiligung
sowie die Verfügung über einzelne Rechte und Ansprüche aus dem
Gesellschaftsverhältnis sind nur mit Zustimmung der
Gesellschafterversammlung und der persönlich haftenden
Gesellschafterin zulässig. Ausgenommen von den
Verfügungsbeschränkungen nach Satz 1 sind Verfügungen zugunsten
anderer Gesellschafter.</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13 Kündigung, Ausscheiden und
Ausschluss eines Gesellschafters</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Jeder Gesellschafter kann die Gesellschaft unter Einhaltung
einer Frist von zwölf Monaten zum Ende eines Geschäftsjahres
kündigen, erstmals zum … Die Kündigung bedarf der Form eines
eingeschriebenen Briefes mit Rückschein und ist an die persönlich
haftende Gesellschafterin zu richten. Maßgeblich für die
Rechtzeitig der Kündigung ist der Eingang der Kündigungsschreiben.
Mit Wirksamwerden der Kündigung scheidet der Gesellschafter aus der
Gesellschaft aus.</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Ausscheiden eines Gesellschafters wird die Gesellschaft
nicht aufgelöst, sondern von den übrigen Gesellschaftern
fortgesetzt.</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den Ausschluss eines
Gesellschafters beschließen, wenn
</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das Vermögen des Gesellschafters das Insolvenzverfahren
eröffnet oder die Eröffnung eines solchen Verfahrens mangels Masse
abgewiesen wird;</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Person des Gesellschafters ein seine Ausschließung
rechtfertigender Grund vorliegt, was insbesondere bei
Vertrauensverlust aufgrund des Verhaltens des Gesellschafters
gegeben ist.</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Gesellschafter, der eine natürliche Person ist, kann durch
Beschluss der Gesellschafterversammlung ausgeschlossen werden, wenn
</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nicht Geschäftsführer der Gesellschaft, der
persönlich haftenden Gesellschafterin der Gesellschaft oder einen
anderen Gesellschaft der X-Planungs-Firmengruppe ist;</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arbeitsunfähig oder sonst gehindert ist,
seinen Verpflichtungen aus dem Anstellungsvertrag mit der
Gesellschaft, der persönlich haftenden Gesellschafterin der
Gesellschaft der X-Planungs-Firmengruppen nachzukommen und die
volle Wiederherstellung einer Einsatzfähigkeit aller Voraussicht
nach auf Dauer, mindestens aber für 18 Monate, ausgeschlossen
ist;</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gleich aus welchem Grund, seinen
wesentlichen Verpflichtungen aus seinem mit der Gesellschaft, der
persönlich haftenden Gesellschafterin der Gesellschaft oder einer
anderen Gesellschaft der X-Planungs-Gruppe abgeschlossenen Dienst-
oder Arbeitsvertrag trotz Abmahnungen wiederholt nicht
nachkommt;</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das 65. Lebensjahr vollendet hat oder</w:t>
      </w:r>
    </w:p>
    <w:p>
      <w:pPr>
        <w:numPr>
          <w:ilvl w:val="1"/>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verstirbt, soweit der Gesellschafter bzw
seine Erben nicht bereits nach § 14 ausscheiden.</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auszuschließende Gesellschafter hat bei der
Beschlussfassung kein Stimmrecht. Der Beschluss über die
Ausschließung wird mit der Mitteilung an den betroffenen
Gesellschafter durch Übersendung einer Kopie der Niederschrift oder
des schriftlich gefassten Beschlusses wirksam, wozu jeder der
übrigen Gesellschafter berechtigt ist. Der Beschluss ist solange
als wirksam zu behandeln, bis seine Unwirksamkeit rechtskräftig
festgestellt ist. Bei Vorliegen der Voraussetzungen kann der
Ausschluss erfolgen, er muss es aber nicht. Solange die
Voraussetzungen vorliegen, kann der Ausschluss jederzeit
erfolgen.</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Wirksamwerden der Ausschließung scheidet der Gesellschafter
aus der Gesellschaft aus. Sein Gesellschaftsanteil wächst der
Gesellschafterin mit der größten Beteiligung an, die an den
ausgeschiedenen Gesellschafter eine Abfindung gem § 13
Z 8 zu zahlen hat.</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Abweichung von § 13 Z 6 kann die
Gesellschafterversammlung verlangen, dass der ausscheidende
Gesellschafter seinen Anteil an einen Gesellschafter oder an einen
Dritten veräußert. In diesem Fall erhält der ausscheidende
Gesellschafter eine Vergütung, die der Abfindung gem § 13
Z 8 entspricht. Kommt der Gesellschafter dem
Übertragungsverlangen nicht nach, verbleibt es bei der Regelung in
§ 13 Z 5.</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Abfindung, die zugleich als Kompensation für die
Beschränkungen gem § 6 Z 2 und 3 dient, erhält der
ausgeschiedene bzw ausgeschlossene Gesellschafter von der
Gesellschafterin, welcher seinen Gesellschaftsanteil gem § 13
Z 6 anwächst, das 2,5-Fache des Durchschnitts der
modifizierten Jahresergebnisse gem § 11 Z 3 der letzten
drei, vor dem Ausscheiden bzw Ausschluss, abgeschlossenen
Geschäftsjahre, die auf den Gesellschaftsanteil des Gesellschafters
entfallen. Wird der Jahresabschluss für das dem Ausscheiden des
Gesellschafters unmittelbar vorausgehende Geschäftsjahr innerhalb
von fünf Monaten nach Wirksamwerden des Ausscheidens festgestellt,
ist die so ermittelte Abfindung innerhalb von sechs Monaten nach
Wirksamwerden des Ausscheidens zur Zahlung fällig.</w:t>
      </w:r>
      <w:r>
        <w:rPr>
          <w:rFonts w:ascii="Arial" w:hAnsi="Arial" w:eastAsia="Arial" w:cs="Arial"/>
          <w:color w:val="000000"/>
          <w:sz w:val="20"/>
          <w:szCs w:val="20"/>
        </w:rPr>
        <w:br/>
        <w:t xml:space="preserve">Ist der Jahresabschluss für das dem Ausscheiden des Gesellschafters
unmittelbar vorausgehende Geschäftsjahr nicht innerhalb von fünf
Monaten nach Wirksamwerden des Ausscheidens festgestellt, ist
zunächst eine vorläufige Abfindung auf der Grundlage der
festgestellten Handelsbilanz der beiden vorausgegangenen
abgeschlossenen Geschäftsjahre und der verfügbaren Daten für das
dem Ausscheiden unmittelbar vorausgegangene, abgeschlossene
Geschäftsjahr zu schätzen. Die vorläufige Abfindung beträgt maximal
80 % des 2,5-Fachen des Durchschnitts der auf dem
Geschäftsanteil des veräußerungspflichtigen Gesellschafters
entfallenden modifizierten Jahresergebnisse der beiden
vorausgegangenen, abgeschlossenen Geschäftsjahre, für die
festgestellte Handelsbilanzen vorliegen („Vorläufige Abfindung“).
Die vorläufige Abfindung ist innerhalb von sechs Monaten nach
Wirksamwerden des Ausscheidens bzw Ausschlusses zur Zahlung fällig.
Sobald der Jahresabschluss für das dem Ausscheiden bzw Ausschluss
unmittelbar vorausgegangene, abgeschlossene Geschäftsjahr
festgestellt ist, ist die endgültige Abfindung zu ermitteln,
innerhalb von vier Wochen nach Mitteilung der so ermittelten
endgültigen Abfindung an den ausscheidenden Gesellschafter ist eine
etwaige positive Differenz zur Vorläufigen Abfindung an den
ausscheidenden Gesellschafter zu zahlen und eine etwaige negative
Differenz zu vorläufigen Abfindung vom ausscheidenden
Gesellschafter an die Gesellschafterin, welcher sein
Gesellschaftsanteil anwächst, zu zahlen.</w:t>
      </w:r>
      <w:r>
        <w:rPr>
          <w:rFonts w:ascii="Arial" w:hAnsi="Arial" w:eastAsia="Arial" w:cs="Arial"/>
          <w:color w:val="000000"/>
          <w:sz w:val="20"/>
          <w:szCs w:val="20"/>
        </w:rPr>
        <w:br/>
        <w:t xml:space="preserve">Ist der Durchschnitt der in den letzten drei, vor dem Ausscheiden,
abgeschlossenen Geschäftsjahre auf den Gesellschaftsanteil des
Gesellschafters nach Abzug von Ertragssteuer entfallenden
Jahresergebnisse negativ, beträgt die Abfindung EUR 1,–
(eins).</w:t>
      </w:r>
      <w:r>
        <w:rPr>
          <w:rFonts w:ascii="Arial" w:hAnsi="Arial" w:eastAsia="Arial" w:cs="Arial"/>
          <w:color w:val="000000"/>
          <w:sz w:val="20"/>
          <w:szCs w:val="20"/>
        </w:rPr>
        <w:br/>
        <w:t xml:space="preserve">Die Gesellschafterin, welcher der Anteil des Ausscheidenden
anwächst, ist berechtigt, von der Abfindung einen Betrag in der
Höhe des Verlustvortragkontos (einschließlich der auf den
Ausscheidenden entfallenden Verlustanteile des dem Ausscheiden
vorangehenden Geschäftsjahres) sowie eines gegebenenfalls negativen
Privatkontos des ausscheidenden Gesellschafters als anteilige
Erfüllung der Abfindungsschuld direkt an die Gesellschaft als
Ausgleich des Verlustvortragkontos sowie gegebenenfalls des
negativen Privatkontos zu zahlen.</w:t>
      </w:r>
    </w:p>
    <w:p>
      <w:pPr>
        <w:numPr>
          <w:ilvl w:val="0"/>
          <w:numId w:val="409124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Gesellschafterin, der der Geschäftsanteil anwächst, erwirbt
den Gesellschaftsanteil des Ausscheidenden zusammen mit dessen
Kapitalkonto I. Ein zum Ablauf des dem Ausscheiden vorangehenden
Geschäftsjahres („Stichtag“) bestehendes Guthaben auf seinem
Kapitalkonto II abzüglich eventueller Beträge auf seinem
Verlustvortragkonto (einschließlich der auf den Ausscheidenden
entfallenden Verlustanteile des dem Ausscheiden vorangehenden
Geschäftsjahres) sind dem Ausscheidenden von der Gesellschaft mit
der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Beim Tod eines Gesellschafters, der eine natürliche Person ist,
scheidet der Gesellschafter aus der Gesellschaft aus. Die
Gesellschaft wird nicht aufgelöst, sondern mit den verbleibenden
Gesellschaftern fortgeführt. Der Gesellschaftsanteil des
ausgeschiedenen Gesellschafters wächst der Gesellschafterin mit der
größten Beteiligung an. Der Erbe oder Vermächtnisnehmer des
verstorbenen Gesellschafters erhält von ihr eine Abfindung gem
§ 13 Z 8.</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15 Schlussbestimmungen</w:t>
      </w:r>
    </w:p>
    <w:p>
      <w:pPr>
        <w:numPr>
          <w:ilvl w:val="0"/>
          <w:numId w:val="30495502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Dieser Gesellschaftsvertrag gilt ab Eintragung der Gesellschaft
im Firmenbuch.</w:t>
      </w:r>
    </w:p>
    <w:p>
      <w:pPr>
        <w:numPr>
          <w:ilvl w:val="0"/>
          <w:numId w:val="30495502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Gerichtsstand für alle Streitigkeiten aus diesem Vertrag ist
Wien.</w:t>
      </w:r>
    </w:p>
    <w:p>
      <w:pPr>
        <w:numPr>
          <w:ilvl w:val="0"/>
          <w:numId w:val="30495502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Änderungen oder Ergänzungen des Gesellschaftsvertrages
erfolgen, soweit gesetzlich zulässig, durch Beschluss gem
§ 7.</w:t>
      </w:r>
    </w:p>
    <w:p>
      <w:pPr>
        <w:numPr>
          <w:ilvl w:val="0"/>
          <w:numId w:val="30495502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Sollten Bestimmungen dieses Vertrages oder eine künftig in ihn
aufgenommene Bestimmung ganz oder teilweise nicht rechtswirksam
oder nicht durchführbar sein oder ihre Rechtswirksamkeit oder
Durchführbarkeit später verlieren, so soll hiervon die Gültigkeit
der übrigen Bestimmungen dieses Vertrages nicht berührt werden. Das
Gleiche gilt, soweit sich herausstellen sollte, dass der Vertrag
eine Regelungslücke enthält. Anstelle der unwirksamen und
undurchführbaren Bestimmungen oder zur Ausfüllung der Lücke soll
eine angemessene Regelung gelten, die, soweit rechtlich möglich,
dem am nächsten kommt, was die Gesellschafter gewollt haben oder
nach dem Sinn und Zweck des Vertrages gewollt haben würden, sofern
sie bei Abschluss dieses Vertrages oder bei der späteren Aufnahme
einer Bestimmung den Punkt bedacht hätten. Dies gilt auch, wenn die
Unwirksamkeit einer Bestimmung etwa auf einem in dem Vertrag
vorgeschriebenen Maß der Leistung oder Zeit (Frist oder Termin)
beruht; es soll dann ein dem Gewollten möglichst nahe kommendes
rechtliches Maß der Leistung oder Zeit (Frist oder Termin) als
vereinbart gelten.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 Firma, Sitz und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140" w:after="240" w:line="288" w:lineRule="auto"/>
        <w:ind w:left="0" w:right="0"/>
        <w:jc w:val="left"/>
      </w:pPr>
      <w:r>
        <w:rPr>
          <w:rFonts w:ascii="Arial" w:hAnsi="Arial" w:eastAsia="Arial" w:cs="Arial"/>
          <w:color w:val="000000"/>
          <w:sz w:val="20"/>
          <w:szCs w:val="20"/>
        </w:rPr>
        <w:t xml:space="preserve">Unternehmensgegenstand</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der Tätigkeit um ein freies
oder reglementiertes Gewerbe handelt (zB § 94 Z 74 GewO
bzgl der Unternehmens- und Personalberatung)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2 Gesellschaftskapital, Beteiligung und Einlagen</w:t>
      </w:r>
    </w:p>
    <w:p>
      <w:pPr>
        <w:widowControl w:val="on"/>
        <w:pBdr/>
        <w:spacing w:before="140" w:after="240" w:line="288" w:lineRule="auto"/>
        <w:ind w:left="0" w:right="0"/>
        <w:jc w:val="left"/>
      </w:pPr>
      <w:r>
        <w:rPr>
          <w:rFonts w:ascii="Arial" w:hAnsi="Arial" w:eastAsia="Arial" w:cs="Arial"/>
          <w:color w:val="000000"/>
          <w:sz w:val="20"/>
          <w:szCs w:val="20"/>
        </w:rPr>
        <w:t xml:space="preserve">Die Komplementärin einer KG haftet grundsätzlich unbeschränkt,
allerdings handelt es sich hier bei der Komplementärin um eine
GmbH, weshalb sie nur mit ihrem Gesellschaftsvermögen haftet, was
faktisch zu einer Haftungsreduktion führt. Häufig (wie auch in
diesem Fall) fungiert sie als Arbeitsgesellschafterin und übernimmt
meist Verwaltungsfunktionen (zB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Z Handels OG übernimmt als Kommanditistin eine
Pflichteinlage in Höhe von EUR 10.000, die voll aufgebracht
ist. OGs (wie auch natürliche oder juristische Personen) können als
Kommanditisten fungieren. Die Pflichteinlage bildet die Grundlage
für die Beteiligung am Gesellschaftsvermögen und für die jeweilige
Haftungsbegrenzung der Kommanditistin. Im Außenverhältnis haftet
die Kommanditistin nur in Höhe der im Firmenbuch eingetragenen
Haftsumme. Eine darüber hinausgehende Haftung ist
ausgeschlossen.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4 Geschäftsführung und Vertretung</w:t>
      </w:r>
    </w:p>
    <w:p>
      <w:pPr>
        <w:widowControl w:val="on"/>
        <w:pBdr/>
        <w:spacing w:before="140" w:after="240" w:line="288" w:lineRule="auto"/>
        <w:ind w:left="0" w:right="0"/>
        <w:jc w:val="left"/>
      </w:pPr>
      <w:r>
        <w:rPr>
          <w:rFonts w:ascii="Arial" w:hAnsi="Arial" w:eastAsia="Arial" w:cs="Arial"/>
          <w:color w:val="000000"/>
          <w:sz w:val="20"/>
          <w:szCs w:val="20"/>
        </w:rPr>
        <w:t xml:space="preserve">Bei der GmbH &amp; Co KG erfolgt die faktische Leitung durch die
Geschäftsführer der GmbH, sodass intern das GmbHG maßgeblich ist
(§ 15 GmbHG).</w:t>
      </w:r>
    </w:p>
    <w:p>
      <w:pPr>
        <w:widowControl w:val="on"/>
        <w:pBdr/>
        <w:spacing w:before="140" w:after="240" w:line="288" w:lineRule="auto"/>
        <w:ind w:left="0" w:right="0"/>
        <w:jc w:val="left"/>
      </w:pPr>
      <w:r>
        <w:rPr>
          <w:rFonts w:ascii="Arial" w:hAnsi="Arial" w:eastAsia="Arial" w:cs="Arial"/>
          <w:color w:val="000000"/>
          <w:sz w:val="20"/>
          <w:szCs w:val="20"/>
        </w:rPr>
        <w:t xml:space="preserve">Die Kommanditisten sind von der Führung der Geschäfte der
Gesellschaft gem § 164 UGB ausgeschlossen. Daher führen und
vertreten nur Komplementäre die Gesellschaft.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5 Zustimmungsbedürftige Geschäfte</w:t>
      </w:r>
    </w:p>
    <w:p>
      <w:pPr>
        <w:widowControl w:val="on"/>
        <w:pBdr/>
        <w:spacing w:before="140" w:after="240" w:line="288" w:lineRule="auto"/>
        <w:ind w:left="0" w:right="0"/>
        <w:jc w:val="left"/>
      </w:pPr>
      <w:r>
        <w:rPr>
          <w:rFonts w:ascii="Arial" w:hAnsi="Arial" w:eastAsia="Arial" w:cs="Arial"/>
          <w:color w:val="000000"/>
          <w:sz w:val="20"/>
          <w:szCs w:val="20"/>
        </w:rPr>
        <w:t xml:space="preserve">§ 5 des Gesellschaftsvertrags implementiert eine
gesellschaftsvertragliche Kontrolle der Komplementär-GmbH durch die
Kommanditistin im Innenverhältnis.</w:t>
      </w:r>
    </w:p>
    <w:p>
      <w:pPr>
        <w:widowControl w:val="on"/>
        <w:pBdr/>
        <w:spacing w:before="140" w:after="240" w:line="288" w:lineRule="auto"/>
        <w:ind w:left="0" w:right="0"/>
        <w:jc w:val="left"/>
      </w:pPr>
      <w:r>
        <w:rPr>
          <w:rFonts w:ascii="Arial" w:hAnsi="Arial" w:eastAsia="Arial" w:cs="Arial"/>
          <w:color w:val="000000"/>
          <w:sz w:val="20"/>
          <w:szCs w:val="20"/>
        </w:rPr>
        <w:t xml:space="preserve">Die vorliegende Bestimmung regelt den Katalog
zustimmungsbedürftiger Geschäfte der persönlich haftenden
Gesellschafterin (Komplementär-GmbH) in einer GmbH &amp; Co KG. Sie
konkretisiert damit das Verhältnis zwischen der
geschäftsführungsbefugten Komplementärin und der
Gesellschafterversammlung. Ziel dieser Regelung ist es, eine
Kontrolle der Kommanditisten über außergewöhnliche
Geschäftsführungsmaßnahmen sicherzustellen.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6 Wettbewerbsverbot, Kundenschutz und Abwerbeverbot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7 Gesellschafterversammlung und
Gesellschafterbeschlüsse</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8 Geschäftsjahr und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Die Pflicht zur Aufstellung eines Jahresabschlusses für eine
GmbH &amp; Co KG ergibt sich aus § 189 Abs 1 Z 2
lit b UGB. Die detaillierten Rechnungslegungsvorschriften
gehen aus §§ 189 ff UGB hervor. Da die GmbH hier als
Komplementärin fungiert, ist der Geschäftsführer der GmbH für die
Aufstellung des Jahresabschlusses verantwortlich. Dieser ist der
Gesellschaft gegenüber verpflichtet und hat die Geschäfte mit der
Sorgfalt eines ordentlichen Geschäftsmannes zu leiten.</w:t>
      </w:r>
    </w:p>
    <w:p>
      <w:pPr>
        <w:widowControl w:val="on"/>
        <w:pBdr/>
        <w:spacing w:before="140" w:after="240" w:line="288" w:lineRule="auto"/>
        <w:ind w:left="0" w:right="0"/>
        <w:jc w:val="left"/>
      </w:pPr>
      <w:r>
        <w:rPr>
          <w:rFonts w:ascii="Arial" w:hAnsi="Arial" w:eastAsia="Arial" w:cs="Arial"/>
          <w:color w:val="000000"/>
          <w:sz w:val="20"/>
          <w:szCs w:val="20"/>
        </w:rPr>
        <w:t xml:space="preserve">Der Kommanditistin kommt ein Kontrollrecht iSd § 166 UGB
zu.</w:t>
      </w:r>
    </w:p>
    <w:p>
      <w:pPr>
        <w:widowControl w:val="on"/>
        <w:pBdr/>
        <w:spacing w:before="140" w:after="240" w:line="288" w:lineRule="auto"/>
        <w:ind w:left="0" w:right="0"/>
        <w:jc w:val="left"/>
      </w:pPr>
      <w:r>
        <w:rPr>
          <w:rFonts w:ascii="Arial" w:hAnsi="Arial" w:eastAsia="Arial" w:cs="Arial"/>
          <w:color w:val="000000"/>
          <w:sz w:val="20"/>
          <w:szCs w:val="20"/>
        </w:rPr>
        <w:t xml:space="preserve">Einreichung des Jahresabschlusses nach den Vorgaben der
ERV-Novelle 2025:</w:t>
      </w:r>
    </w:p>
    <w:p>
      <w:pPr>
        <w:widowControl w:val="on"/>
        <w:pBdr/>
        <w:spacing w:before="140" w:after="240" w:line="288" w:lineRule="auto"/>
        <w:ind w:left="0" w:right="0"/>
        <w:jc w:val="left"/>
      </w:pPr>
      <w:r>
        <w:rPr>
          <w:rFonts w:ascii="Arial" w:hAnsi="Arial" w:eastAsia="Arial" w:cs="Arial"/>
          <w:color w:val="000000"/>
          <w:sz w:val="20"/>
          <w:szCs w:val="20"/>
        </w:rPr>
        <w:t xml:space="preserve">Mit der ERV-Novelle BGBl II Nr 27/2025 wird ab dem
01.01.2026 FinanzOnline (FON) kein zulässiger Kommunikationsweg mit
dem Firmenbuchgericht mehr sein. Damit können Jahresabschlüsse
(JAb) und andere Unterlagen der Rechnungslegung, die in der neuen
Version der Struktur JAb 4.0 errichtet wurden (das sind im
Wesentlichen alle Unterlagen, die nach dem 31.12.2024 erstellt
werden), nicht mehr über FON eingereicht werden. Unterlagen, die in
einer früheren Version der Struktur aufgestellt wurden (etwa JAb
3.32), können in einem Übergangszeitraum bis 31.12.2025 noch über
FON eingereicht werden.</w:t>
      </w:r>
    </w:p>
    <w:p>
      <w:pPr>
        <w:widowControl w:val="on"/>
        <w:pBdr/>
        <w:spacing w:before="140" w:after="240" w:line="288" w:lineRule="auto"/>
        <w:ind w:left="0" w:right="0"/>
        <w:jc w:val="left"/>
      </w:pPr>
      <w:r>
        <w:rPr>
          <w:rFonts w:ascii="Arial" w:hAnsi="Arial" w:eastAsia="Arial" w:cs="Arial"/>
          <w:color w:val="000000"/>
          <w:sz w:val="20"/>
          <w:szCs w:val="20"/>
        </w:rPr>
        <w:t xml:space="preserve">Die Einreichung der Jahresabschlussunterlagen richtet sich ab
dem 01.01.2026 nach den neuen Vorgaben der ERV-Novelle. Gem
§ 277 Abs 6 UGB sind diese grundsätzlich in
elektronischer Form dem zuständigen Firmenbuchgericht (siehe
§ 120 JN) vorzulegen. Darüber hinaus bestimmt § 12
Abs 2 ERV 2021 in der Fassung BGBl II Nr 27/2025,
dass die Vorlage grundsätzlich in strukturierter Form gemäß der
Schnittstellenbeschreibung (§ 7 ERV 2021) zu erfolgen hat. Die
Möglichkeit der strukturierten Einreichung besteht:</w:t>
      </w:r>
    </w:p>
    <w:p>
      <w:pPr>
        <w:numPr>
          <w:ilvl w:val="0"/>
          <w:numId w:val="98149565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Offenlegung gem § 278 Abs 1 UGB (auch iVm
§ 221 Abs 5 UGB)</w:t>
      </w:r>
    </w:p>
    <w:p>
      <w:pPr>
        <w:numPr>
          <w:ilvl w:val="0"/>
          <w:numId w:val="98149565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Bilanz und die Gewinn- und Verlustrechnung von
Rechtsträgern, die den Regeln des dritten Buches des UGB
unterliegen, es sei denn, die einzureichenden Unterlagen enthalten
Posten, die mithilfe der in der Schnittstellenbeschreibung
enthaltenen Struktur (Taxonomie) nicht abgebildet werden
können</w:t>
      </w:r>
    </w:p>
    <w:p>
      <w:pPr>
        <w:numPr>
          <w:ilvl w:val="0"/>
          <w:numId w:val="98149565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Unterlagen und Berichte, sobald und soweit die Aufstellung
oder Einreichung in strukturierter Form in einem Unionsrechtsakt
angeordnet ist, wie bspw für Jahresfinanzberichte nach § 124
BörseG 2018, BGBl I Nr 107/2017</w:t>
      </w:r>
    </w:p>
    <w:p>
      <w:pPr>
        <w:widowControl w:val="on"/>
        <w:pBdr/>
        <w:spacing w:before="140" w:after="240" w:line="288" w:lineRule="auto"/>
        <w:ind w:left="0" w:right="0"/>
        <w:jc w:val="left"/>
      </w:pPr>
      <w:r>
        <w:rPr>
          <w:rFonts w:ascii="Arial" w:hAnsi="Arial" w:eastAsia="Arial" w:cs="Arial"/>
          <w:color w:val="000000"/>
          <w:sz w:val="20"/>
          <w:szCs w:val="20"/>
        </w:rPr>
        <w:t xml:space="preserve">Wenn eine Übermittlung nicht strukturiert möglich ist, können
die Unterlagen auch als PDF-Anhang oder im Weg eines
Urkundenarchives einer Körperschaft öffentlichen Rechts (§ 91c
GOG) eingebracht werden. Der Grund der Unmöglichkeit ist anlässlich
der Einreichung bekannt zu geben (siehe § 12 Abs 3 ERV
2021).</w:t>
      </w:r>
    </w:p>
    <w:p>
      <w:pPr>
        <w:widowControl w:val="on"/>
        <w:pBdr/>
        <w:spacing w:before="140" w:after="240" w:line="288" w:lineRule="auto"/>
        <w:ind w:left="0" w:right="0"/>
        <w:jc w:val="left"/>
      </w:pPr>
      <w:r>
        <w:rPr>
          <w:rFonts w:ascii="Arial" w:hAnsi="Arial" w:eastAsia="Arial" w:cs="Arial"/>
          <w:color w:val="000000"/>
          <w:sz w:val="20"/>
          <w:szCs w:val="20"/>
        </w:rPr>
        <w:t xml:space="preserve">Werden Unterlagen nach den §§ 277 bis 281 UGB zur
Verbesserung zurückgestellt, so sind sie gem § 12 Abs 5
ERV 2021 idF BGBl II Nr 27/2025 bei Wiedervorlage in
verbesserter Form zur Gänze neu einzureichen.</w:t>
      </w:r>
    </w:p>
    <w:p>
      <w:pPr>
        <w:widowControl w:val="on"/>
        <w:pBdr/>
        <w:spacing w:before="140" w:after="240" w:line="288" w:lineRule="auto"/>
        <w:ind w:left="0" w:right="0"/>
        <w:jc w:val="left"/>
      </w:pPr>
      <w:r>
        <w:rPr>
          <w:rFonts w:ascii="Arial" w:hAnsi="Arial" w:eastAsia="Arial" w:cs="Arial"/>
          <w:color w:val="000000"/>
          <w:sz w:val="20"/>
          <w:szCs w:val="20"/>
        </w:rPr>
        <w:t xml:space="preserve">Übergangsregelung für den Jahresabschluss für kleine GmbH sowie
kleine kapitalistische Personengesellschaften in der Version 3.32
bis 31.12.2025:</w:t>
      </w:r>
    </w:p>
    <w:p>
      <w:pPr>
        <w:widowControl w:val="on"/>
        <w:pBdr/>
        <w:spacing w:before="140" w:after="240" w:line="288" w:lineRule="auto"/>
        <w:ind w:left="0" w:right="0"/>
        <w:jc w:val="left"/>
      </w:pPr>
      <w:r>
        <w:rPr>
          <w:rFonts w:ascii="Arial" w:hAnsi="Arial" w:eastAsia="Arial" w:cs="Arial"/>
          <w:color w:val="000000"/>
          <w:sz w:val="20"/>
          <w:szCs w:val="20"/>
        </w:rPr>
        <w:t xml:space="preserve">Bis 31.12.2025 gilt das „alte“ Formular in der Version 3.32 und
kann der Jahresabschluss letztmalig über FON eingereicht werden.
Parallel wird bereits ab 01.03.2025 ein neues Formular in der
Version 4.0 zur Verfügung gestellt, wobei dieses nicht für FON
gilt. Über dieses Formular können die Formblatt-Daten direkt ans
Firmenbuchgericht gesendet werden.</w:t>
      </w:r>
    </w:p>
    <w:p>
      <w:pPr>
        <w:widowControl w:val="on"/>
        <w:pBdr/>
        <w:spacing w:before="140" w:after="240" w:line="288" w:lineRule="auto"/>
        <w:ind w:left="0" w:right="0"/>
        <w:jc w:val="left"/>
      </w:pPr>
      <w:r>
        <w:rPr>
          <w:rFonts w:ascii="Arial" w:hAnsi="Arial" w:eastAsia="Arial" w:cs="Arial"/>
          <w:color w:val="000000"/>
          <w:sz w:val="20"/>
          <w:szCs w:val="20"/>
        </w:rPr>
        <w:t xml:space="preserve">Ab 01.01.2026 gibt es weder das „alte“ Formular in der Version
3.32 noch die Möglichkeit der Übermittlung von Jahresabschluss über
FON.</w:t>
      </w:r>
    </w:p>
    <w:p>
      <w:pPr>
        <w:widowControl w:val="on"/>
        <w:pBdr/>
        <w:spacing w:before="140" w:after="240" w:line="288" w:lineRule="auto"/>
        <w:ind w:left="0" w:right="0"/>
        <w:jc w:val="left"/>
      </w:pPr>
      <w:r>
        <w:rPr>
          <w:rFonts w:ascii="Arial" w:hAnsi="Arial" w:eastAsia="Arial" w:cs="Arial"/>
          <w:color w:val="000000"/>
          <w:sz w:val="20"/>
          <w:szCs w:val="20"/>
        </w:rPr>
        <w:t xml:space="preserve">Es wird empfohlen, bereits ab dem 01.03.2025 auf das neue
Formular in der Version 4.0 umzusteigen und die neue Möglichkeit
zur elektronischen Einreichung zu nutzen.</w:t>
      </w:r>
    </w:p>
    <w:p>
      <w:pPr>
        <w:widowControl w:val="on"/>
        <w:pBdr/>
        <w:spacing w:before="140" w:after="240" w:line="288" w:lineRule="auto"/>
        <w:ind w:left="0" w:right="0"/>
        <w:jc w:val="left"/>
      </w:pPr>
      <w:r>
        <w:rPr>
          <w:rFonts w:ascii="Arial" w:hAnsi="Arial" w:eastAsia="Arial" w:cs="Arial"/>
          <w:color w:val="000000"/>
          <w:sz w:val="20"/>
          <w:szCs w:val="20"/>
        </w:rPr>
        <w:t xml:space="preserve">Jahresabschluss für kleine GmbH sowie kleine kapitalistische
Personengesellschaften in der Version 4.0 ab 01.01.2026:</w:t>
      </w:r>
    </w:p>
    <w:p>
      <w:pPr>
        <w:widowControl w:val="on"/>
        <w:pBdr/>
        <w:spacing w:before="140" w:after="240" w:line="288" w:lineRule="auto"/>
        <w:ind w:left="0" w:right="0"/>
        <w:jc w:val="left"/>
      </w:pPr>
      <w:r>
        <w:rPr>
          <w:rFonts w:ascii="Arial" w:hAnsi="Arial" w:eastAsia="Arial" w:cs="Arial"/>
          <w:color w:val="000000"/>
          <w:sz w:val="20"/>
          <w:szCs w:val="20"/>
        </w:rPr>
        <w:t xml:space="preserve">Es gibt ein neues Formular, mit dem der Jahresabschluss beim
Firmenbuchgericht eingereicht werden kann. Die Einreichung ist
unter Verwendung des Elektronischen Identitätsnachweises – E-ID
(§§ 4 ff E-GovG) oder über USP möglich. Mit diesem Formular
kann man die Formblatt-Daten manuell eingeben.</w:t>
      </w:r>
    </w:p>
    <w:p>
      <w:pPr>
        <w:widowControl w:val="on"/>
        <w:pBdr/>
        <w:spacing w:before="140" w:after="240" w:line="288" w:lineRule="auto"/>
        <w:ind w:left="0" w:right="0"/>
        <w:jc w:val="left"/>
      </w:pPr>
      <w:r>
        <w:rPr>
          <w:rFonts w:ascii="Arial" w:hAnsi="Arial" w:eastAsia="Arial" w:cs="Arial"/>
          <w:color w:val="000000"/>
          <w:sz w:val="20"/>
          <w:szCs w:val="20"/>
        </w:rPr>
        <w:t xml:space="preserve">Mit dem neuen Formular können die Formblatt-Daten weiterhin
manuell eingegeben werden. Im Unterschied zum bisherigen Verfahren
ist es jedoch nicht mehr erforderlich, die generierten Daten in FON
einzubringen. Stattdessen werden die eingegebenen Formblatt-Daten
nach Abschluss der Eingabe durch Betätigung der Schaltfläche
„Senden“ direkt in strukturierter Form gemäß Version 4.0 an das
zuständige Firmenbuchgericht übermittelt. Im Anschluss an die
Übermittlung wird dem Einreicher eine Eingangsbestätigung per
E-Mail zugesandt.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9 Gesellschafterkonten</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 stellt das Festkapital des Gesellschafters
dar, das zugleich die Grundlage seiner Beteiligungsquote und damit
seines Stimmrechts, Gewinn- und Verlustanteils sowie
Liquidationserlöses bildet. Gemäß der Bestimmung handelt es sich um
ein Festkonto, dessen Veränderung eine Änderung des
Gesellschaftsvertrags erfordert.</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II dient der Thesaurierung nicht
ausgeschütteter Gewinne, soweit die Gesellschafterversammlung
beschließt, diese nicht dem Privatkonto gutzuschreiben. Es handelt
sich um Eigenkapital mit Beteiligungscharakter, das im Unterschied
zum Kapitalkonto I variabel geführt wird.</w:t>
      </w:r>
    </w:p>
    <w:p>
      <w:pPr>
        <w:widowControl w:val="on"/>
        <w:pBdr/>
        <w:spacing w:before="140" w:after="240" w:line="288" w:lineRule="auto"/>
        <w:ind w:left="0" w:right="0"/>
        <w:jc w:val="left"/>
      </w:pPr>
      <w:r>
        <w:rPr>
          <w:rFonts w:ascii="Arial" w:hAnsi="Arial" w:eastAsia="Arial" w:cs="Arial"/>
          <w:color w:val="000000"/>
          <w:sz w:val="20"/>
          <w:szCs w:val="20"/>
        </w:rPr>
        <w:t xml:space="preserve">Das Verlustvortragskonto dient der periodenübergreifenden
Verrechnung von Verlustanteilen, die mit späteren Gewinnen
auszugleichen sind, bevor eine Ausschüttung an die Gesellschafter
erfolgen darf. Diese Systematik entspricht dem Grundsatz des
§ 167 UGB, wonach Verluste in den Folgejahren mit Gewinnen zu
verrechnen sind. Erst nach Ausgleich des Verlustvortrags ist ein
Gewinnanteil ausschüttungsfähig.</w:t>
      </w:r>
    </w:p>
    <w:p>
      <w:pPr>
        <w:widowControl w:val="on"/>
        <w:pBdr/>
        <w:spacing w:before="140" w:after="240" w:line="288" w:lineRule="auto"/>
        <w:ind w:left="0" w:right="0"/>
        <w:jc w:val="left"/>
      </w:pPr>
      <w:r>
        <w:rPr>
          <w:rFonts w:ascii="Arial" w:hAnsi="Arial" w:eastAsia="Arial" w:cs="Arial"/>
          <w:color w:val="000000"/>
          <w:sz w:val="20"/>
          <w:szCs w:val="20"/>
        </w:rPr>
        <w:t xml:space="preserve">Das Privatkonto fungiert als Verrechnungskonto zwischen
Gesellschafter und Gesellschaft und dient der Erfassung von
Ausschüttungen, Entnahmen und sonstigen gegenseitigen
Forderungen.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10 Gewinn- und Verlustverteilung, Entnahmen</w:t>
      </w:r>
    </w:p>
    <w:p>
      <w:pPr>
        <w:widowControl w:val="on"/>
        <w:pBdr/>
        <w:spacing w:before="140" w:after="240" w:line="288" w:lineRule="auto"/>
        <w:ind w:left="0" w:right="0"/>
        <w:jc w:val="left"/>
      </w:pPr>
      <w:r>
        <w:rPr>
          <w:rFonts w:ascii="Arial" w:hAnsi="Arial" w:eastAsia="Arial" w:cs="Arial"/>
          <w:color w:val="000000"/>
          <w:sz w:val="20"/>
          <w:szCs w:val="20"/>
        </w:rPr>
        <w:t xml:space="preserve">Das Risiko, dass der Komplementär seine „Existenz aufs Spiel
setzt“ (vgl </w:t>
      </w:r>
      <w:r>
        <w:rPr>
          <w:rFonts w:ascii="Arial" w:hAnsi="Arial" w:eastAsia="Arial" w:cs="Arial"/>
          <w:i/>
          <w:iCs/>
          <w:color w:val="000000"/>
          <w:sz w:val="20"/>
          <w:szCs w:val="20"/>
        </w:rPr>
        <w:t xml:space="preserve">Reidlinger</w:t>
      </w:r>
      <w:r>
        <w:rPr>
          <w:rFonts w:ascii="Arial" w:hAnsi="Arial" w:eastAsia="Arial" w:cs="Arial"/>
          <w:color w:val="000000"/>
          <w:sz w:val="20"/>
          <w:szCs w:val="20"/>
        </w:rPr>
        <w:t xml:space="preserve">, aaO), ist durch ein
Haftungsentgelt (im Sinne eines Vorausgewinns bzw
Sondergewinnanteils) abzugelten. Wenn die GmbH als Komplementärin
kein Vermögen in die KG eingebracht hat, ergibt sich die
Beteiligung abgesehen von der hier nicht strittigen
Geschäftsführung nur aus der Übernahme der unbeschränkten Haftung.
Diese Haftung ist fremdüblich durch ein Haftungsentgelt abzugelten.
Eine „Verzinsung“ eines „eingesetzten Kapitals“ hat aber in diesem
Fall nicht zu erfolgen, da die GmbH mangels Einlage auch kein
Kapital „eingesetzt“ (an die KG zur Nutzung überlassen) hat. Es
steht ihr vielmehr frei, ihr Vermögen selbst zu nutzen (etwa durch
die zinsbringende Anschaffung von Anleihen) und damit eine
Verzinsung dieses Vermögens außerhalb der Beteiligung an der KG zu
erzielen (VwGH 17.12.2014, Zl 2010/13/0115).</w:t>
      </w:r>
    </w:p>
    <w:p>
      <w:pPr>
        <w:widowControl w:val="on"/>
        <w:pBdr/>
        <w:spacing w:before="140" w:after="240" w:line="288" w:lineRule="auto"/>
        <w:ind w:left="0" w:right="0"/>
        <w:jc w:val="left"/>
      </w:pPr>
      <w:r>
        <w:rPr>
          <w:rFonts w:ascii="Arial" w:hAnsi="Arial" w:eastAsia="Arial" w:cs="Arial"/>
          <w:color w:val="000000"/>
          <w:sz w:val="20"/>
          <w:szCs w:val="20"/>
        </w:rPr>
        <w:t xml:space="preserve">Einer GmbH als einziger Komplementärin ohne Kapitalanteil einer
(personengleichen und typischen) GmbH &amp; Co KG ist als Abgeltung
ihres Haftungsrisikos als für die Verbindlichkeiten der GmbH &amp;
Co KG unbeschränkt Haftungspflichtige eine Haftungsentschädigung zu
gewähren. Wurde im Rahmen der Gewinnverteilung ursprünglich diese
Haftungsentschädigung auf Basis des betriebswirtschaftlichen
Eigenkapitals der GmbH zutreffend ermittelt, so hält eine in einem
späteren Jahr (dem Beschwerdejahr) durch Gesellschafterbeschluss
ohne nachvollziehbare Begründung auf einen Bruchteil vorgenommene
Reduzierung der Haftungsentschädigung einem Fremdvergleich nicht
stand. Das Finanzamt hat daher zu Recht die Differenz als verdeckte
Ausschüttung der GmbH an deren Gesellschafter, die zugleich
Kommanditisten der GmbH &amp; Co KG sind, gewertet. Die
Heranziehung der GmbH als ausschüttende Gesellschaft und somit als
Haftende für die Einbehaltung und Abfuhr der auf die verdeckte
Ausschüttung entfallende Kapitalertragsteuer entspricht dem Gesetz
(vgl VwGH vom 28.05.2015, Ro 2014/15/0046) (BFG 11.03.2016,
RV/5101439/2009).</w:t>
      </w:r>
    </w:p>
    <w:p>
      <w:pPr>
        <w:widowControl w:val="on"/>
        <w:pBdr/>
        <w:spacing w:before="140" w:after="240" w:line="288" w:lineRule="auto"/>
        <w:ind w:left="0" w:right="0"/>
        <w:jc w:val="left"/>
      </w:pPr>
      <w:r>
        <w:rPr>
          <w:rFonts w:ascii="Arial" w:hAnsi="Arial" w:eastAsia="Arial" w:cs="Arial"/>
          <w:color w:val="000000"/>
          <w:sz w:val="20"/>
          <w:szCs w:val="20"/>
        </w:rPr>
        <w:t xml:space="preserve">Ist bei einer Kommanditgesellschaft kein unbeschränkt haftender
Gesellschafter eine natürliche Person, so sind die Vorschriften
über das Verbot der Einlagenrückgewähr gem § 82 Abs 1 und
§ 83 Abs 1 GmbHG auf die Kommanditgesellschaft im
Verhältnis zu ihren Kommanditisten analog anzuwenden. Der
Rückersatzanspruch gem § 83 Abs 1 GmbHG steht dabei der
Kommanditgesellschaft zu (RIS-Justiz RS0123863).</w:t>
      </w:r>
    </w:p>
    <w:p>
      <w:pPr>
        <w:widowControl w:val="on"/>
        <w:pBdr/>
        <w:spacing w:before="140" w:after="240" w:line="288" w:lineRule="auto"/>
        <w:ind w:left="0" w:right="0"/>
        <w:jc w:val="left"/>
      </w:pPr>
      <w:r>
        <w:rPr>
          <w:rFonts w:ascii="Arial" w:hAnsi="Arial" w:eastAsia="Arial" w:cs="Arial"/>
          <w:color w:val="000000"/>
          <w:sz w:val="20"/>
          <w:szCs w:val="20"/>
        </w:rPr>
        <w:t xml:space="preserve">Bei einem Verstoß gegen das Verbot der Einlagenrückgewähr
fordert eine Abwägung der Interessen des Kreditgebers einerseits
und der durch die verbotene Einlagenrückgewähr geschädigten
Gesellschaft und ihrer Gläubiger andererseits, das
Leistungsverweigerungsrecht gegenüber dem Kreditgeber nicht nur auf
Kollusion zu beschränken. Die Interessen der Gesellschaft und ihrer
Gläubiger müssen jedenfalls auch den Interessen jenes Kreditgebers
vorgehen, der weiß, dass er den Kredit einem (mittelbaren)
Gesellschafter gewährt, der damit den Anteilskauf finanziert, und
dass die Sicherheit am Gesellschaftsvermögen bestellt wird. Das
Gleiche muss auch für jenen Kreditgeber gelten, dem sich dieses
Wissen „geradezu aufdrängen“ muss, dessen Unkenntnis demnach auf
grober Fahrlässigkeit beruht (RIS-Justiz RS0105537).</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11 Tätigkeitsbeteiligung</w:t>
      </w:r>
    </w:p>
    <w:p>
      <w:pPr>
        <w:widowControl w:val="on"/>
        <w:pBdr/>
        <w:spacing w:before="140" w:after="240" w:line="288" w:lineRule="auto"/>
        <w:ind w:left="0" w:right="0"/>
        <w:jc w:val="left"/>
      </w:pPr>
      <w:r>
        <w:rPr>
          <w:rFonts w:ascii="Arial" w:hAnsi="Arial" w:eastAsia="Arial" w:cs="Arial"/>
          <w:color w:val="000000"/>
          <w:sz w:val="20"/>
          <w:szCs w:val="20"/>
        </w:rPr>
        <w:t xml:space="preserve">Nach § 137 Abs 2 UGB ist dem ausscheidenden
Gesellschafter einer Personengesellschaft in Geld auszuzahlen, was
er bei der Auseinandersetzung erhielte, wenn die Gesellschaft zur
Zeit seines Ausscheidens aufgelöst worden wäre. Sein
Geschäftsanteil geht unter und an die Stelle des Kapitalanteils
tritt die Abfindungsverpflichtung der Gesellschaft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[2009] §§ 137, 138 Rz 5). Der Anspruch ist
gegen die Gesellschaft gerichtet, wobei die verbleibenden
Gesellschafter dem Konzept der Personengesellschaft entsprechend
mit der Gesellschaft solidarisch haften (RIS-Justiz RS0061822). Der
Anspruch entsteht im Zeitpunkt des Ausscheidens des Gesellschafters
aus der Gesellschaft (RIS-Justiz RS0061822 [T4]), das ist bei der
Kündigung der Zugang der Austrittserklärung bei den
Mitgesellschaftern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[2017] § 137 Rz 33). Dem
Abfindungsanspruch liegt die Zielsetzung zugrunde, dem
ausscheidenden Gesellschafter möglichst dieselbe Rechtsposition zu
verschaffen, die er hätte, wenn die Gesellschaft liquidiert würde
(vgl RIS-Justiz RS0061746;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aaO,
Rz 2;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[2010] § 137
Rz 5). Die gesetzlichen Regelungen über die Auseinandersetzung
sind aber grundsätzlich dispositiv (vgl RIS-Justiz RS0061758).</w:t>
      </w:r>
    </w:p>
    <w:p>
      <w:pPr>
        <w:widowControl w:val="on"/>
        <w:pBdr/>
        <w:spacing w:before="140" w:after="240" w:line="288" w:lineRule="auto"/>
        <w:ind w:left="0" w:right="0"/>
        <w:jc w:val="left"/>
      </w:pPr>
      <w:r>
        <w:rPr>
          <w:rFonts w:ascii="Arial" w:hAnsi="Arial" w:eastAsia="Arial" w:cs="Arial"/>
          <w:color w:val="000000"/>
          <w:sz w:val="20"/>
          <w:szCs w:val="20"/>
        </w:rPr>
        <w:t xml:space="preserve">Die im Wesentlichen übereinstimmenden Meinungen in der Literatur
gehen davon aus, dass Abfindungsansprüche eines ausscheidenden
Gesellschafters einer GmbH &amp; Co KG durch alineare
Gewinnausschüttungen oder Kapitalherabsetzungen in analoger
Anwendung der §§ 54 ff GmbHG von der Gesellschaft befriedigt
werden können. Die Einhaltung dieser Bestimmungen gewährleistet
jedenfalls einen ausreichenden Gläubigerschutz.</w:t>
      </w:r>
    </w:p>
    <w:p>
      <w:pPr>
        <w:widowControl w:val="on"/>
        <w:pBdr/>
        <w:spacing w:before="140" w:after="240" w:line="288" w:lineRule="auto"/>
        <w:ind w:left="0" w:right="0"/>
        <w:jc w:val="left"/>
      </w:pPr>
      <w:r>
        <w:rPr>
          <w:rFonts w:ascii="Arial" w:hAnsi="Arial" w:eastAsia="Arial" w:cs="Arial"/>
          <w:color w:val="000000"/>
          <w:sz w:val="20"/>
          <w:szCs w:val="20"/>
        </w:rPr>
        <w:t xml:space="preserve">Mit einem Kapitalherabsetzungsverfahren analog §§ 54 ff
GmbHG kann zwar eine gewisse Zeitverzögerung verbunden sein; diese
wird dem ausscheidenden Gesellschafter aber durch die Verzinsung
ausgeglichen (vgl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 137 Rz 34 f). Daneben haben
die ausscheidenden Gesellschafter die Möglichkeit, die Erstellung
der Abschichtungsbilanz zu verlangen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 137,
138 Rz 18;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UGB²
§ 138 Rz 14) oder – etwa wenn die Höhe des Guthabens
nicht strittig ist oder aber es zu keiner Feststellung der
Abschichtungsbilanz kommt – direkt ein Auseinandersetzungsguthaben
einzuklagen (6 Ob 585/88; 6 Ob 39/10 [ErwGr 10];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aaO, Rz 15;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 137 Rz 23) (OGH 21.11.2017, 6 Ob 161/17w).</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 Bei der
GmbH &amp; Co KG findet diese Regelung analog Anwendung.</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13 Kündigung, Ausscheiden und Ausschluss eines
Gesellschafters</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iSd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Der ausscheidende Gesellschafter und damit auch der
ausscheidende Kommanditist hat einen Abfindungsanspruch. Ihm ist in
Geld auszuzahlen, was er bei der Auseinandersetzung erhalten würde,
falls die Gesellschaft zur Zeit des Ausscheidens aufgelöst worden
wäre. Dazu ist eine Abschichtungsbilanz zu erstellen (RIS-Justiz
RS0061746).</w:t>
      </w:r>
    </w:p>
    <w:p>
      <w:pPr>
        <w:widowControl w:val="on"/>
        <w:pBdr/>
        <w:spacing w:before="140" w:after="240" w:line="288" w:lineRule="auto"/>
        <w:ind w:left="0" w:right="0"/>
        <w:jc w:val="left"/>
      </w:pPr>
      <w:r>
        <w:rPr>
          <w:rFonts w:ascii="Arial" w:hAnsi="Arial" w:eastAsia="Arial" w:cs="Arial"/>
          <w:color w:val="000000"/>
          <w:sz w:val="20"/>
          <w:szCs w:val="20"/>
        </w:rPr>
        <w:t xml:space="preserve">Aufgrund der engen Beziehung zwischen der Geschäftsführung der
Komplementär-GmbH und der KG hat der Oberste Gerichtshof unter
bestimmten Umständen auch einen eigenen unmittelbaren
Schadenersatzanspruch der KG gegenüber dem GmbH-Geschäftsführer
bejaht (6 Ob 757/83; 7 Ob 525/86; 1 Ob 192/08d GesRz 2009, 293
[Hochedlinger], zuletzt 6 Ob 171/15p). Es kann festgehalten werden,
dass eine subsidiäre Kompetenz der Gesellschafter der
Komplementärin zur Kündigung des Drittanstellungsvertrags ihres
Geschäftsführers mit der KG dann unbestritten ist, wenn keine
weiteren Geschäftsführer in vertretungsberechtigter Anzahl
vorhanden sind. Die in der Literatur immer wieder genannten Gründe,
aus denen die Bestellung und (direkte) Anstellung von
Geschäftsführern den Gesellschaftern der GmbH zugewiesen ist,
insbesondere die Vermeidung von Interessenkonflikten, schlägt in
gleicher Weise auch auf das Verhältnis zur KG durch. Als persönlich
haftende Gesellschafterin ist die GmbH von Begründung und
Beendigung sowie Bedingungen eines Geschäftsführerdienstvertrags
zur KG wirtschaftlich unmittelbar betroffen.</w:t>
      </w:r>
    </w:p>
    <w:p>
      <w:pPr>
        <w:widowControl w:val="on"/>
        <w:pBdr/>
        <w:spacing w:before="140" w:after="240" w:line="288" w:lineRule="auto"/>
        <w:ind w:left="0" w:right="0"/>
        <w:jc w:val="left"/>
      </w:pPr>
      <w:r>
        <w:rPr>
          <w:rFonts w:ascii="Arial" w:hAnsi="Arial" w:eastAsia="Arial" w:cs="Arial"/>
          <w:color w:val="000000"/>
          <w:sz w:val="20"/>
          <w:szCs w:val="20"/>
        </w:rPr>
        <w:t xml:space="preserve">Wesentlich für die Annexkompetenz spricht auch, dass die
Gesellschafter als oberstes Organ der GmbH immer durch (zulässige)
Weisungen an die Geschäftsführer unmittelbar in die Gesellschaft
eingreifen können. Die Geschäftsführer haben solche Weisungen zu
befolgen (§ 20 GmbHG). Es macht in der Praxis keinen
wesentlichen Unterschied, ob die Gesellschafter der Komplementärin
den verbleibenden Geschäftsführern Weisung zur Kündigung ihres
Kollegen erteilen und diese die Weisung umzusetzen haben, oder ob
die Gesellschafter den Kündigungsentschluss unmittelbar im Wege der
subsidiären Kompetenz durchsetzen können. Gesteht man den
Gesellschaftern diese Kompetenz zu, sichert dies ihre unbefangene
Entscheidung bei der Organbestellung und deren Widerruf, weil diese
Kompetenz dann in keiner Weise durch eine Vorwegnahme von Abschluss
oder (Nicht-)Auflösung des Anstellungsvertrags durch die
Geschäftsführung unterlaufen werden kann.</w:t>
      </w:r>
    </w:p>
    <w:p>
      <w:pPr>
        <w:widowControl w:val="on"/>
        <w:pBdr/>
        <w:spacing w:before="140" w:after="240" w:line="288" w:lineRule="auto"/>
        <w:ind w:left="0" w:right="0"/>
        <w:jc w:val="left"/>
      </w:pPr>
      <w:r>
        <w:rPr>
          <w:rFonts w:ascii="Arial" w:hAnsi="Arial" w:eastAsia="Arial" w:cs="Arial"/>
          <w:color w:val="000000"/>
          <w:sz w:val="20"/>
          <w:szCs w:val="20"/>
        </w:rPr>
        <w:t xml:space="preserve">Es ist daher der Rechtsansicht der Vorzug zu geben, dass die
Kündigung des Geschäftsführerdienstvertrags des Geschäftsführers
der Komplementärgesellschaft einer GmbH &amp; Co KG vor seiner
gesellschaftsrechtlichen Abberufung ebenso in die Kompetenz der
Gesellschafter der GmbH fällt wie die Kündigung eines unmittelbar
zur GmbH bestehenden Geschäftsführervertrags (OGH 18.12.2020, 8 ObA
80/19a).</w:t>
      </w:r>
    </w:p>
    <w:p>
      <w:pPr>
        <w:widowControl w:val="on"/>
        <w:pBdr/>
        <w:spacing w:before="140" w:after="240" w:line="288" w:lineRule="auto"/>
        <w:ind w:left="0" w:right="0"/>
        <w:jc w:val="left"/>
      </w:pPr>
      <w:r>
        <w:rPr>
          <w:rFonts w:ascii="Arial" w:hAnsi="Arial" w:eastAsia="Arial" w:cs="Arial"/>
          <w:color w:val="000000"/>
          <w:sz w:val="20"/>
          <w:szCs w:val="20"/>
        </w:rPr>
        <w:t xml:space="preserve">Nach ständiger, auf der Entscheidung 1 Ob 600/53 (SZ 26/285)
basierender Rechtsprechung des Obersten Gerichtshofs ist der
zwangsweise Ausschluss eines Gesellschafters einer Gesellschaft mit
beschränkter Haftung – mit Ausnahme des in § 66 GmbHG
geregelten einzigen Falles der Säumigkeit bei der Einzahlung der
Stammeinlage – unzulässig (RIS-Justiz RS0059745; zuletzt 1 Ob
135/06v ecolex 2007/120 [Reich-Rohrwig]), wenn nicht
Ausschlussmöglichkeit und Ausschlussverfahren im
Gesellschaftsvertrag vorgesehen sind (RIS-Justiz RS0102055). Eine
„rechtsfortbildende Etablierung“ einer Ausschlussklage sei schon
allein deshalb abzulehnen, weil der Gesetzgeber in Kenntnis dieser
jahrzehntelangen Rechtsprechung und der Diskussion in der
Literatur, die überwiegend für eine Rechtsfortbildung eintrete,
keine andersartige Regelung getroffen habe, was gegen die Annahme
einer planwidrigen Gesetzeslücke spreche (1 Ob 135/06v) (OGH
14.09.2011, 6 Ob 80/11z).</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Die Bestimmung regelt die sog „Fortsetzungsklausel“ im
Gesellschaftsvertrag, welche vorsieht, dass die Gesellschaft im
Todesfall eines Gesellschafters nicht aufgelöst wird, sondern von
den verbleibenden Gesellschaftern fortgeführt wird.</w:t>
      </w:r>
    </w:p>
    <w:p>
      <w:pPr>
        <w:widowControl w:val="on"/>
        <w:pBdr/>
        <w:spacing w:before="140" w:after="240" w:line="288" w:lineRule="auto"/>
        <w:ind w:left="0" w:right="0"/>
        <w:jc w:val="left"/>
      </w:pPr>
      <w:r>
        <w:rPr>
          <w:rFonts w:ascii="Arial" w:hAnsi="Arial" w:eastAsia="Arial" w:cs="Arial"/>
          <w:color w:val="000000"/>
          <w:sz w:val="20"/>
          <w:szCs w:val="20"/>
        </w:rPr>
        <w:t xml:space="preserve">Grundsätzlich würde der Tod eines Gesellschafters zur Auflösung
der Gesellschaft führen, allerdings ist diese gesetzliche
Bestimmung dispositiv. Durch die vertragliche Fortsetzungsklausel
wird diese Rechtsfolge verdrängt und der Anteil des verstorbenen
Gesellschafters „anwachsungsweise“ auf die verbleibenden
Gesellschafter übertragen („Anwachsungsklausel“). Die
Mitgliedschaft des verstorbenen Gesellschafters gilt als
unvererblich. Die Erben oder Vermächtnisnehmer haben weder ein
Recht noch eine Verpflichtung zur Nachfolge in die Gesellschaft,
sondern erhalten als Surrogat einen Abfindungsanspruch.</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49565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0495502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09124505">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83058190">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3359322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0807136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941491510">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26344541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39655584">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434129983">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49170330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7729112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7716004">
    <w:multiLevelType w:val="hybridMultilevel"/>
    <w:lvl w:ilvl="0" w:tplc="47110859">
      <w:start w:val="1"/>
      <w:numFmt w:val="decimal"/>
      <w:lvlText w:val="%1."/>
      <w:lvlJc w:val="left"/>
      <w:pPr>
        <w:ind w:left="720" w:hanging="360"/>
      </w:pPr>
    </w:lvl>
    <w:lvl w:ilvl="1" w:tplc="47110859" w:tentative="1">
      <w:start w:val="1"/>
      <w:numFmt w:val="lowerLetter"/>
      <w:lvlText w:val="%2."/>
      <w:lvlJc w:val="left"/>
      <w:pPr>
        <w:ind w:left="1440" w:hanging="360"/>
      </w:pPr>
    </w:lvl>
    <w:lvl w:ilvl="2" w:tplc="47110859" w:tentative="1">
      <w:start w:val="1"/>
      <w:numFmt w:val="lowerRoman"/>
      <w:lvlText w:val="%3."/>
      <w:lvlJc w:val="right"/>
      <w:pPr>
        <w:ind w:left="2160" w:hanging="180"/>
      </w:pPr>
    </w:lvl>
    <w:lvl w:ilvl="3" w:tplc="47110859" w:tentative="1">
      <w:start w:val="1"/>
      <w:numFmt w:val="decimal"/>
      <w:lvlText w:val="%4."/>
      <w:lvlJc w:val="left"/>
      <w:pPr>
        <w:ind w:left="2880" w:hanging="360"/>
      </w:pPr>
    </w:lvl>
    <w:lvl w:ilvl="4" w:tplc="47110859" w:tentative="1">
      <w:start w:val="1"/>
      <w:numFmt w:val="lowerLetter"/>
      <w:lvlText w:val="%5."/>
      <w:lvlJc w:val="left"/>
      <w:pPr>
        <w:ind w:left="3600" w:hanging="360"/>
      </w:pPr>
    </w:lvl>
    <w:lvl w:ilvl="5" w:tplc="47110859" w:tentative="1">
      <w:start w:val="1"/>
      <w:numFmt w:val="lowerRoman"/>
      <w:lvlText w:val="%6."/>
      <w:lvlJc w:val="right"/>
      <w:pPr>
        <w:ind w:left="4320" w:hanging="180"/>
      </w:pPr>
    </w:lvl>
    <w:lvl w:ilvl="6" w:tplc="47110859" w:tentative="1">
      <w:start w:val="1"/>
      <w:numFmt w:val="decimal"/>
      <w:lvlText w:val="%7."/>
      <w:lvlJc w:val="left"/>
      <w:pPr>
        <w:ind w:left="5040" w:hanging="360"/>
      </w:pPr>
    </w:lvl>
    <w:lvl w:ilvl="7" w:tplc="47110859" w:tentative="1">
      <w:start w:val="1"/>
      <w:numFmt w:val="lowerLetter"/>
      <w:lvlText w:val="%8."/>
      <w:lvlJc w:val="left"/>
      <w:pPr>
        <w:ind w:left="5760" w:hanging="360"/>
      </w:pPr>
    </w:lvl>
    <w:lvl w:ilvl="8" w:tplc="47110859" w:tentative="1">
      <w:start w:val="1"/>
      <w:numFmt w:val="lowerRoman"/>
      <w:lvlText w:val="%9."/>
      <w:lvlJc w:val="right"/>
      <w:pPr>
        <w:ind w:left="6480" w:hanging="180"/>
      </w:pPr>
    </w:lvl>
  </w:abstractNum>
  <w:abstractNum w:abstractNumId="27716003">
    <w:multiLevelType w:val="hybridMultilevel"/>
    <w:lvl w:ilvl="0" w:tplc="10980021">
      <w:start w:val="1"/>
      <w:numFmt w:val="decimal"/>
      <w:lvlText w:val="%1."/>
      <w:lvlJc w:val="left"/>
      <w:pPr>
        <w:ind w:left="720" w:hanging="360"/>
      </w:pPr>
    </w:lvl>
    <w:lvl w:ilvl="1" w:tplc="10980021" w:tentative="1">
      <w:start w:val="1"/>
      <w:numFmt w:val="lowerLetter"/>
      <w:lvlText w:val="%2."/>
      <w:lvlJc w:val="left"/>
      <w:pPr>
        <w:ind w:left="1440" w:hanging="360"/>
      </w:pPr>
    </w:lvl>
    <w:lvl w:ilvl="2" w:tplc="10980021" w:tentative="1">
      <w:start w:val="1"/>
      <w:numFmt w:val="lowerRoman"/>
      <w:lvlText w:val="%3."/>
      <w:lvlJc w:val="right"/>
      <w:pPr>
        <w:ind w:left="2160" w:hanging="180"/>
      </w:pPr>
    </w:lvl>
    <w:lvl w:ilvl="3" w:tplc="10980021" w:tentative="1">
      <w:start w:val="1"/>
      <w:numFmt w:val="decimal"/>
      <w:lvlText w:val="%4."/>
      <w:lvlJc w:val="left"/>
      <w:pPr>
        <w:ind w:left="2880" w:hanging="360"/>
      </w:pPr>
    </w:lvl>
    <w:lvl w:ilvl="4" w:tplc="10980021" w:tentative="1">
      <w:start w:val="1"/>
      <w:numFmt w:val="lowerLetter"/>
      <w:lvlText w:val="%5."/>
      <w:lvlJc w:val="left"/>
      <w:pPr>
        <w:ind w:left="3600" w:hanging="360"/>
      </w:pPr>
    </w:lvl>
    <w:lvl w:ilvl="5" w:tplc="10980021" w:tentative="1">
      <w:start w:val="1"/>
      <w:numFmt w:val="lowerRoman"/>
      <w:lvlText w:val="%6."/>
      <w:lvlJc w:val="right"/>
      <w:pPr>
        <w:ind w:left="4320" w:hanging="180"/>
      </w:pPr>
    </w:lvl>
    <w:lvl w:ilvl="6" w:tplc="10980021" w:tentative="1">
      <w:start w:val="1"/>
      <w:numFmt w:val="decimal"/>
      <w:lvlText w:val="%7."/>
      <w:lvlJc w:val="left"/>
      <w:pPr>
        <w:ind w:left="5040" w:hanging="360"/>
      </w:pPr>
    </w:lvl>
    <w:lvl w:ilvl="7" w:tplc="10980021" w:tentative="1">
      <w:start w:val="1"/>
      <w:numFmt w:val="lowerLetter"/>
      <w:lvlText w:val="%8."/>
      <w:lvlJc w:val="left"/>
      <w:pPr>
        <w:ind w:left="5760" w:hanging="360"/>
      </w:pPr>
    </w:lvl>
    <w:lvl w:ilvl="8" w:tplc="10980021" w:tentative="1">
      <w:start w:val="1"/>
      <w:numFmt w:val="lowerRoman"/>
      <w:lvlText w:val="%9."/>
      <w:lvlJc w:val="right"/>
      <w:pPr>
        <w:ind w:left="6480" w:hanging="180"/>
      </w:pPr>
    </w:lvl>
  </w:abstractNum>
  <w:abstractNum w:abstractNumId="27716002">
    <w:multiLevelType w:val="hybridMultilevel"/>
    <w:lvl w:ilvl="0" w:tplc="80438140">
      <w:start w:val="1"/>
      <w:numFmt w:val="decimal"/>
      <w:lvlText w:val="%1."/>
      <w:lvlJc w:val="left"/>
      <w:pPr>
        <w:ind w:left="720" w:hanging="360"/>
      </w:pPr>
    </w:lvl>
    <w:lvl w:ilvl="1" w:tplc="80438140" w:tentative="1">
      <w:start w:val="1"/>
      <w:numFmt w:val="lowerLetter"/>
      <w:lvlText w:val="%2."/>
      <w:lvlJc w:val="left"/>
      <w:pPr>
        <w:ind w:left="1440" w:hanging="360"/>
      </w:pPr>
    </w:lvl>
    <w:lvl w:ilvl="2" w:tplc="80438140" w:tentative="1">
      <w:start w:val="1"/>
      <w:numFmt w:val="lowerRoman"/>
      <w:lvlText w:val="%3."/>
      <w:lvlJc w:val="right"/>
      <w:pPr>
        <w:ind w:left="2160" w:hanging="180"/>
      </w:pPr>
    </w:lvl>
    <w:lvl w:ilvl="3" w:tplc="80438140" w:tentative="1">
      <w:start w:val="1"/>
      <w:numFmt w:val="decimal"/>
      <w:lvlText w:val="%4."/>
      <w:lvlJc w:val="left"/>
      <w:pPr>
        <w:ind w:left="2880" w:hanging="360"/>
      </w:pPr>
    </w:lvl>
    <w:lvl w:ilvl="4" w:tplc="80438140" w:tentative="1">
      <w:start w:val="1"/>
      <w:numFmt w:val="lowerLetter"/>
      <w:lvlText w:val="%5."/>
      <w:lvlJc w:val="left"/>
      <w:pPr>
        <w:ind w:left="3600" w:hanging="360"/>
      </w:pPr>
    </w:lvl>
    <w:lvl w:ilvl="5" w:tplc="80438140" w:tentative="1">
      <w:start w:val="1"/>
      <w:numFmt w:val="lowerRoman"/>
      <w:lvlText w:val="%6."/>
      <w:lvlJc w:val="right"/>
      <w:pPr>
        <w:ind w:left="4320" w:hanging="180"/>
      </w:pPr>
    </w:lvl>
    <w:lvl w:ilvl="6" w:tplc="80438140" w:tentative="1">
      <w:start w:val="1"/>
      <w:numFmt w:val="decimal"/>
      <w:lvlText w:val="%7."/>
      <w:lvlJc w:val="left"/>
      <w:pPr>
        <w:ind w:left="5040" w:hanging="360"/>
      </w:pPr>
    </w:lvl>
    <w:lvl w:ilvl="7" w:tplc="80438140" w:tentative="1">
      <w:start w:val="1"/>
      <w:numFmt w:val="lowerLetter"/>
      <w:lvlText w:val="%8."/>
      <w:lvlJc w:val="left"/>
      <w:pPr>
        <w:ind w:left="5760" w:hanging="360"/>
      </w:pPr>
    </w:lvl>
    <w:lvl w:ilvl="8" w:tplc="80438140" w:tentative="1">
      <w:start w:val="1"/>
      <w:numFmt w:val="lowerRoman"/>
      <w:lvlText w:val="%9."/>
      <w:lvlJc w:val="right"/>
      <w:pPr>
        <w:ind w:left="6480" w:hanging="180"/>
      </w:pPr>
    </w:lvl>
  </w:abstractNum>
  <w:abstractNum w:abstractNumId="27716001">
    <w:multiLevelType w:val="hybridMultilevel"/>
    <w:lvl w:ilvl="0" w:tplc="23645174">
      <w:start w:val="1"/>
      <w:numFmt w:val="decimal"/>
      <w:lvlText w:val="%1."/>
      <w:lvlJc w:val="left"/>
      <w:pPr>
        <w:ind w:left="720" w:hanging="360"/>
      </w:pPr>
    </w:lvl>
    <w:lvl w:ilvl="1" w:tplc="23645174" w:tentative="1">
      <w:start w:val="1"/>
      <w:numFmt w:val="lowerLetter"/>
      <w:lvlText w:val="%2."/>
      <w:lvlJc w:val="left"/>
      <w:pPr>
        <w:ind w:left="1440" w:hanging="360"/>
      </w:pPr>
    </w:lvl>
    <w:lvl w:ilvl="2" w:tplc="23645174" w:tentative="1">
      <w:start w:val="1"/>
      <w:numFmt w:val="lowerRoman"/>
      <w:lvlText w:val="%3."/>
      <w:lvlJc w:val="right"/>
      <w:pPr>
        <w:ind w:left="2160" w:hanging="180"/>
      </w:pPr>
    </w:lvl>
    <w:lvl w:ilvl="3" w:tplc="23645174" w:tentative="1">
      <w:start w:val="1"/>
      <w:numFmt w:val="decimal"/>
      <w:lvlText w:val="%4."/>
      <w:lvlJc w:val="left"/>
      <w:pPr>
        <w:ind w:left="2880" w:hanging="360"/>
      </w:pPr>
    </w:lvl>
    <w:lvl w:ilvl="4" w:tplc="23645174" w:tentative="1">
      <w:start w:val="1"/>
      <w:numFmt w:val="lowerLetter"/>
      <w:lvlText w:val="%5."/>
      <w:lvlJc w:val="left"/>
      <w:pPr>
        <w:ind w:left="3600" w:hanging="360"/>
      </w:pPr>
    </w:lvl>
    <w:lvl w:ilvl="5" w:tplc="23645174" w:tentative="1">
      <w:start w:val="1"/>
      <w:numFmt w:val="lowerRoman"/>
      <w:lvlText w:val="%6."/>
      <w:lvlJc w:val="right"/>
      <w:pPr>
        <w:ind w:left="4320" w:hanging="180"/>
      </w:pPr>
    </w:lvl>
    <w:lvl w:ilvl="6" w:tplc="23645174" w:tentative="1">
      <w:start w:val="1"/>
      <w:numFmt w:val="decimal"/>
      <w:lvlText w:val="%7."/>
      <w:lvlJc w:val="left"/>
      <w:pPr>
        <w:ind w:left="5040" w:hanging="360"/>
      </w:pPr>
    </w:lvl>
    <w:lvl w:ilvl="7" w:tplc="23645174" w:tentative="1">
      <w:start w:val="1"/>
      <w:numFmt w:val="lowerLetter"/>
      <w:lvlText w:val="%8."/>
      <w:lvlJc w:val="left"/>
      <w:pPr>
        <w:ind w:left="5760" w:hanging="360"/>
      </w:pPr>
    </w:lvl>
    <w:lvl w:ilvl="8" w:tplc="23645174" w:tentative="1">
      <w:start w:val="1"/>
      <w:numFmt w:val="lowerRoman"/>
      <w:lvlText w:val="%9."/>
      <w:lvlJc w:val="right"/>
      <w:pPr>
        <w:ind w:left="6480" w:hanging="180"/>
      </w:pPr>
    </w:lvl>
  </w:abstractNum>
  <w:abstractNum w:abstractNumId="27716000">
    <w:multiLevelType w:val="hybridMultilevel"/>
    <w:lvl w:ilvl="0" w:tplc="36020125">
      <w:start w:val="1"/>
      <w:numFmt w:val="decimal"/>
      <w:lvlText w:val="%1."/>
      <w:lvlJc w:val="left"/>
      <w:pPr>
        <w:ind w:left="720" w:hanging="360"/>
      </w:pPr>
    </w:lvl>
    <w:lvl w:ilvl="1" w:tplc="36020125" w:tentative="1">
      <w:start w:val="1"/>
      <w:numFmt w:val="lowerLetter"/>
      <w:lvlText w:val="%2."/>
      <w:lvlJc w:val="left"/>
      <w:pPr>
        <w:ind w:left="1440" w:hanging="360"/>
      </w:pPr>
    </w:lvl>
    <w:lvl w:ilvl="2" w:tplc="36020125" w:tentative="1">
      <w:start w:val="1"/>
      <w:numFmt w:val="lowerRoman"/>
      <w:lvlText w:val="%3."/>
      <w:lvlJc w:val="right"/>
      <w:pPr>
        <w:ind w:left="2160" w:hanging="180"/>
      </w:pPr>
    </w:lvl>
    <w:lvl w:ilvl="3" w:tplc="36020125" w:tentative="1">
      <w:start w:val="1"/>
      <w:numFmt w:val="decimal"/>
      <w:lvlText w:val="%4."/>
      <w:lvlJc w:val="left"/>
      <w:pPr>
        <w:ind w:left="2880" w:hanging="360"/>
      </w:pPr>
    </w:lvl>
    <w:lvl w:ilvl="4" w:tplc="36020125" w:tentative="1">
      <w:start w:val="1"/>
      <w:numFmt w:val="lowerLetter"/>
      <w:lvlText w:val="%5."/>
      <w:lvlJc w:val="left"/>
      <w:pPr>
        <w:ind w:left="3600" w:hanging="360"/>
      </w:pPr>
    </w:lvl>
    <w:lvl w:ilvl="5" w:tplc="36020125" w:tentative="1">
      <w:start w:val="1"/>
      <w:numFmt w:val="lowerRoman"/>
      <w:lvlText w:val="%6."/>
      <w:lvlJc w:val="right"/>
      <w:pPr>
        <w:ind w:left="4320" w:hanging="180"/>
      </w:pPr>
    </w:lvl>
    <w:lvl w:ilvl="6" w:tplc="36020125" w:tentative="1">
      <w:start w:val="1"/>
      <w:numFmt w:val="decimal"/>
      <w:lvlText w:val="%7."/>
      <w:lvlJc w:val="left"/>
      <w:pPr>
        <w:ind w:left="5040" w:hanging="360"/>
      </w:pPr>
    </w:lvl>
    <w:lvl w:ilvl="7" w:tplc="36020125" w:tentative="1">
      <w:start w:val="1"/>
      <w:numFmt w:val="lowerLetter"/>
      <w:lvlText w:val="%8."/>
      <w:lvlJc w:val="left"/>
      <w:pPr>
        <w:ind w:left="5760" w:hanging="360"/>
      </w:pPr>
    </w:lvl>
    <w:lvl w:ilvl="8" w:tplc="36020125" w:tentative="1">
      <w:start w:val="1"/>
      <w:numFmt w:val="lowerRoman"/>
      <w:lvlText w:val="%9."/>
      <w:lvlJc w:val="right"/>
      <w:pPr>
        <w:ind w:left="6480" w:hanging="180"/>
      </w:pPr>
    </w:lvl>
  </w:abstractNum>
  <w:abstractNum w:abstractNumId="27715999">
    <w:multiLevelType w:val="hybridMultilevel"/>
    <w:lvl w:ilvl="0" w:tplc="83665256">
      <w:start w:val="1"/>
      <w:numFmt w:val="decimal"/>
      <w:lvlText w:val="%1."/>
      <w:lvlJc w:val="left"/>
      <w:pPr>
        <w:ind w:left="720" w:hanging="360"/>
      </w:pPr>
    </w:lvl>
    <w:lvl w:ilvl="1" w:tplc="83665256" w:tentative="1">
      <w:start w:val="1"/>
      <w:numFmt w:val="lowerLetter"/>
      <w:lvlText w:val="%2."/>
      <w:lvlJc w:val="left"/>
      <w:pPr>
        <w:ind w:left="1440" w:hanging="360"/>
      </w:pPr>
    </w:lvl>
    <w:lvl w:ilvl="2" w:tplc="83665256" w:tentative="1">
      <w:start w:val="1"/>
      <w:numFmt w:val="lowerRoman"/>
      <w:lvlText w:val="%3."/>
      <w:lvlJc w:val="right"/>
      <w:pPr>
        <w:ind w:left="2160" w:hanging="180"/>
      </w:pPr>
    </w:lvl>
    <w:lvl w:ilvl="3" w:tplc="83665256" w:tentative="1">
      <w:start w:val="1"/>
      <w:numFmt w:val="decimal"/>
      <w:lvlText w:val="%4."/>
      <w:lvlJc w:val="left"/>
      <w:pPr>
        <w:ind w:left="2880" w:hanging="360"/>
      </w:pPr>
    </w:lvl>
    <w:lvl w:ilvl="4" w:tplc="83665256" w:tentative="1">
      <w:start w:val="1"/>
      <w:numFmt w:val="lowerLetter"/>
      <w:lvlText w:val="%5."/>
      <w:lvlJc w:val="left"/>
      <w:pPr>
        <w:ind w:left="3600" w:hanging="360"/>
      </w:pPr>
    </w:lvl>
    <w:lvl w:ilvl="5" w:tplc="83665256" w:tentative="1">
      <w:start w:val="1"/>
      <w:numFmt w:val="lowerRoman"/>
      <w:lvlText w:val="%6."/>
      <w:lvlJc w:val="right"/>
      <w:pPr>
        <w:ind w:left="4320" w:hanging="180"/>
      </w:pPr>
    </w:lvl>
    <w:lvl w:ilvl="6" w:tplc="83665256" w:tentative="1">
      <w:start w:val="1"/>
      <w:numFmt w:val="decimal"/>
      <w:lvlText w:val="%7."/>
      <w:lvlJc w:val="left"/>
      <w:pPr>
        <w:ind w:left="5040" w:hanging="360"/>
      </w:pPr>
    </w:lvl>
    <w:lvl w:ilvl="7" w:tplc="83665256" w:tentative="1">
      <w:start w:val="1"/>
      <w:numFmt w:val="lowerLetter"/>
      <w:lvlText w:val="%8."/>
      <w:lvlJc w:val="left"/>
      <w:pPr>
        <w:ind w:left="5760" w:hanging="360"/>
      </w:pPr>
    </w:lvl>
    <w:lvl w:ilvl="8" w:tplc="83665256" w:tentative="1">
      <w:start w:val="1"/>
      <w:numFmt w:val="lowerRoman"/>
      <w:lvlText w:val="%9."/>
      <w:lvlJc w:val="right"/>
      <w:pPr>
        <w:ind w:left="6480" w:hanging="180"/>
      </w:pPr>
    </w:lvl>
  </w:abstractNum>
  <w:abstractNum w:abstractNumId="27715998">
    <w:multiLevelType w:val="hybridMultilevel"/>
    <w:lvl w:ilvl="0" w:tplc="84962136">
      <w:start w:val="1"/>
      <w:numFmt w:val="decimal"/>
      <w:lvlText w:val="%1."/>
      <w:lvlJc w:val="left"/>
      <w:pPr>
        <w:ind w:left="720" w:hanging="360"/>
      </w:pPr>
    </w:lvl>
    <w:lvl w:ilvl="1" w:tplc="84962136" w:tentative="1">
      <w:start w:val="1"/>
      <w:numFmt w:val="lowerLetter"/>
      <w:lvlText w:val="%2."/>
      <w:lvlJc w:val="left"/>
      <w:pPr>
        <w:ind w:left="1440" w:hanging="360"/>
      </w:pPr>
    </w:lvl>
    <w:lvl w:ilvl="2" w:tplc="84962136" w:tentative="1">
      <w:start w:val="1"/>
      <w:numFmt w:val="lowerRoman"/>
      <w:lvlText w:val="%3."/>
      <w:lvlJc w:val="right"/>
      <w:pPr>
        <w:ind w:left="2160" w:hanging="180"/>
      </w:pPr>
    </w:lvl>
    <w:lvl w:ilvl="3" w:tplc="84962136" w:tentative="1">
      <w:start w:val="1"/>
      <w:numFmt w:val="decimal"/>
      <w:lvlText w:val="%4."/>
      <w:lvlJc w:val="left"/>
      <w:pPr>
        <w:ind w:left="2880" w:hanging="360"/>
      </w:pPr>
    </w:lvl>
    <w:lvl w:ilvl="4" w:tplc="84962136" w:tentative="1">
      <w:start w:val="1"/>
      <w:numFmt w:val="lowerLetter"/>
      <w:lvlText w:val="%5."/>
      <w:lvlJc w:val="left"/>
      <w:pPr>
        <w:ind w:left="3600" w:hanging="360"/>
      </w:pPr>
    </w:lvl>
    <w:lvl w:ilvl="5" w:tplc="84962136" w:tentative="1">
      <w:start w:val="1"/>
      <w:numFmt w:val="lowerRoman"/>
      <w:lvlText w:val="%6."/>
      <w:lvlJc w:val="right"/>
      <w:pPr>
        <w:ind w:left="4320" w:hanging="180"/>
      </w:pPr>
    </w:lvl>
    <w:lvl w:ilvl="6" w:tplc="84962136" w:tentative="1">
      <w:start w:val="1"/>
      <w:numFmt w:val="decimal"/>
      <w:lvlText w:val="%7."/>
      <w:lvlJc w:val="left"/>
      <w:pPr>
        <w:ind w:left="5040" w:hanging="360"/>
      </w:pPr>
    </w:lvl>
    <w:lvl w:ilvl="7" w:tplc="84962136" w:tentative="1">
      <w:start w:val="1"/>
      <w:numFmt w:val="lowerLetter"/>
      <w:lvlText w:val="%8."/>
      <w:lvlJc w:val="left"/>
      <w:pPr>
        <w:ind w:left="5760" w:hanging="360"/>
      </w:pPr>
    </w:lvl>
    <w:lvl w:ilvl="8" w:tplc="84962136" w:tentative="1">
      <w:start w:val="1"/>
      <w:numFmt w:val="lowerRoman"/>
      <w:lvlText w:val="%9."/>
      <w:lvlJc w:val="right"/>
      <w:pPr>
        <w:ind w:left="6480" w:hanging="180"/>
      </w:pPr>
    </w:lvl>
  </w:abstractNum>
  <w:abstractNum w:abstractNumId="27715997">
    <w:multiLevelType w:val="hybridMultilevel"/>
    <w:lvl w:ilvl="0" w:tplc="13581408">
      <w:start w:val="1"/>
      <w:numFmt w:val="decimal"/>
      <w:lvlText w:val="%1."/>
      <w:lvlJc w:val="left"/>
      <w:pPr>
        <w:ind w:left="720" w:hanging="360"/>
      </w:pPr>
    </w:lvl>
    <w:lvl w:ilvl="1" w:tplc="13581408" w:tentative="1">
      <w:start w:val="1"/>
      <w:numFmt w:val="lowerLetter"/>
      <w:lvlText w:val="%2."/>
      <w:lvlJc w:val="left"/>
      <w:pPr>
        <w:ind w:left="1440" w:hanging="360"/>
      </w:pPr>
    </w:lvl>
    <w:lvl w:ilvl="2" w:tplc="13581408" w:tentative="1">
      <w:start w:val="1"/>
      <w:numFmt w:val="lowerRoman"/>
      <w:lvlText w:val="%3."/>
      <w:lvlJc w:val="right"/>
      <w:pPr>
        <w:ind w:left="2160" w:hanging="180"/>
      </w:pPr>
    </w:lvl>
    <w:lvl w:ilvl="3" w:tplc="13581408" w:tentative="1">
      <w:start w:val="1"/>
      <w:numFmt w:val="decimal"/>
      <w:lvlText w:val="%4."/>
      <w:lvlJc w:val="left"/>
      <w:pPr>
        <w:ind w:left="2880" w:hanging="360"/>
      </w:pPr>
    </w:lvl>
    <w:lvl w:ilvl="4" w:tplc="13581408" w:tentative="1">
      <w:start w:val="1"/>
      <w:numFmt w:val="lowerLetter"/>
      <w:lvlText w:val="%5."/>
      <w:lvlJc w:val="left"/>
      <w:pPr>
        <w:ind w:left="3600" w:hanging="360"/>
      </w:pPr>
    </w:lvl>
    <w:lvl w:ilvl="5" w:tplc="13581408" w:tentative="1">
      <w:start w:val="1"/>
      <w:numFmt w:val="lowerRoman"/>
      <w:lvlText w:val="%6."/>
      <w:lvlJc w:val="right"/>
      <w:pPr>
        <w:ind w:left="4320" w:hanging="180"/>
      </w:pPr>
    </w:lvl>
    <w:lvl w:ilvl="6" w:tplc="13581408" w:tentative="1">
      <w:start w:val="1"/>
      <w:numFmt w:val="decimal"/>
      <w:lvlText w:val="%7."/>
      <w:lvlJc w:val="left"/>
      <w:pPr>
        <w:ind w:left="5040" w:hanging="360"/>
      </w:pPr>
    </w:lvl>
    <w:lvl w:ilvl="7" w:tplc="13581408" w:tentative="1">
      <w:start w:val="1"/>
      <w:numFmt w:val="lowerLetter"/>
      <w:lvlText w:val="%8."/>
      <w:lvlJc w:val="left"/>
      <w:pPr>
        <w:ind w:left="5760" w:hanging="360"/>
      </w:pPr>
    </w:lvl>
    <w:lvl w:ilvl="8" w:tplc="13581408" w:tentative="1">
      <w:start w:val="1"/>
      <w:numFmt w:val="lowerRoman"/>
      <w:lvlText w:val="%9."/>
      <w:lvlJc w:val="right"/>
      <w:pPr>
        <w:ind w:left="6480" w:hanging="180"/>
      </w:pPr>
    </w:lvl>
  </w:abstractNum>
  <w:abstractNum w:abstractNumId="27715996">
    <w:multiLevelType w:val="hybridMultilevel"/>
    <w:lvl w:ilvl="0" w:tplc="71092678">
      <w:start w:val="1"/>
      <w:numFmt w:val="decimal"/>
      <w:lvlText w:val="%1."/>
      <w:lvlJc w:val="left"/>
      <w:pPr>
        <w:ind w:left="720" w:hanging="360"/>
      </w:pPr>
    </w:lvl>
    <w:lvl w:ilvl="1" w:tplc="71092678" w:tentative="1">
      <w:start w:val="1"/>
      <w:numFmt w:val="lowerLetter"/>
      <w:lvlText w:val="%2."/>
      <w:lvlJc w:val="left"/>
      <w:pPr>
        <w:ind w:left="1440" w:hanging="360"/>
      </w:pPr>
    </w:lvl>
    <w:lvl w:ilvl="2" w:tplc="71092678" w:tentative="1">
      <w:start w:val="1"/>
      <w:numFmt w:val="lowerRoman"/>
      <w:lvlText w:val="%3."/>
      <w:lvlJc w:val="right"/>
      <w:pPr>
        <w:ind w:left="2160" w:hanging="180"/>
      </w:pPr>
    </w:lvl>
    <w:lvl w:ilvl="3" w:tplc="71092678" w:tentative="1">
      <w:start w:val="1"/>
      <w:numFmt w:val="decimal"/>
      <w:lvlText w:val="%4."/>
      <w:lvlJc w:val="left"/>
      <w:pPr>
        <w:ind w:left="2880" w:hanging="360"/>
      </w:pPr>
    </w:lvl>
    <w:lvl w:ilvl="4" w:tplc="71092678" w:tentative="1">
      <w:start w:val="1"/>
      <w:numFmt w:val="lowerLetter"/>
      <w:lvlText w:val="%5."/>
      <w:lvlJc w:val="left"/>
      <w:pPr>
        <w:ind w:left="3600" w:hanging="360"/>
      </w:pPr>
    </w:lvl>
    <w:lvl w:ilvl="5" w:tplc="71092678" w:tentative="1">
      <w:start w:val="1"/>
      <w:numFmt w:val="lowerRoman"/>
      <w:lvlText w:val="%6."/>
      <w:lvlJc w:val="right"/>
      <w:pPr>
        <w:ind w:left="4320" w:hanging="180"/>
      </w:pPr>
    </w:lvl>
    <w:lvl w:ilvl="6" w:tplc="71092678" w:tentative="1">
      <w:start w:val="1"/>
      <w:numFmt w:val="decimal"/>
      <w:lvlText w:val="%7."/>
      <w:lvlJc w:val="left"/>
      <w:pPr>
        <w:ind w:left="5040" w:hanging="360"/>
      </w:pPr>
    </w:lvl>
    <w:lvl w:ilvl="7" w:tplc="71092678" w:tentative="1">
      <w:start w:val="1"/>
      <w:numFmt w:val="lowerLetter"/>
      <w:lvlText w:val="%8."/>
      <w:lvlJc w:val="left"/>
      <w:pPr>
        <w:ind w:left="5760" w:hanging="360"/>
      </w:pPr>
    </w:lvl>
    <w:lvl w:ilvl="8" w:tplc="71092678" w:tentative="1">
      <w:start w:val="1"/>
      <w:numFmt w:val="lowerRoman"/>
      <w:lvlText w:val="%9."/>
      <w:lvlJc w:val="right"/>
      <w:pPr>
        <w:ind w:left="6480" w:hanging="180"/>
      </w:pPr>
    </w:lvl>
  </w:abstractNum>
  <w:abstractNum w:abstractNumId="27715995">
    <w:multiLevelType w:val="hybridMultilevel"/>
    <w:lvl w:ilvl="0" w:tplc="55817160">
      <w:start w:val="1"/>
      <w:numFmt w:val="decimal"/>
      <w:lvlText w:val="%1."/>
      <w:lvlJc w:val="left"/>
      <w:pPr>
        <w:ind w:left="720" w:hanging="360"/>
      </w:pPr>
    </w:lvl>
    <w:lvl w:ilvl="1" w:tplc="55817160" w:tentative="1">
      <w:start w:val="1"/>
      <w:numFmt w:val="lowerLetter"/>
      <w:lvlText w:val="%2."/>
      <w:lvlJc w:val="left"/>
      <w:pPr>
        <w:ind w:left="1440" w:hanging="360"/>
      </w:pPr>
    </w:lvl>
    <w:lvl w:ilvl="2" w:tplc="55817160" w:tentative="1">
      <w:start w:val="1"/>
      <w:numFmt w:val="lowerRoman"/>
      <w:lvlText w:val="%3."/>
      <w:lvlJc w:val="right"/>
      <w:pPr>
        <w:ind w:left="2160" w:hanging="180"/>
      </w:pPr>
    </w:lvl>
    <w:lvl w:ilvl="3" w:tplc="55817160" w:tentative="1">
      <w:start w:val="1"/>
      <w:numFmt w:val="decimal"/>
      <w:lvlText w:val="%4."/>
      <w:lvlJc w:val="left"/>
      <w:pPr>
        <w:ind w:left="2880" w:hanging="360"/>
      </w:pPr>
    </w:lvl>
    <w:lvl w:ilvl="4" w:tplc="55817160" w:tentative="1">
      <w:start w:val="1"/>
      <w:numFmt w:val="lowerLetter"/>
      <w:lvlText w:val="%5."/>
      <w:lvlJc w:val="left"/>
      <w:pPr>
        <w:ind w:left="3600" w:hanging="360"/>
      </w:pPr>
    </w:lvl>
    <w:lvl w:ilvl="5" w:tplc="55817160" w:tentative="1">
      <w:start w:val="1"/>
      <w:numFmt w:val="lowerRoman"/>
      <w:lvlText w:val="%6."/>
      <w:lvlJc w:val="right"/>
      <w:pPr>
        <w:ind w:left="4320" w:hanging="180"/>
      </w:pPr>
    </w:lvl>
    <w:lvl w:ilvl="6" w:tplc="55817160" w:tentative="1">
      <w:start w:val="1"/>
      <w:numFmt w:val="decimal"/>
      <w:lvlText w:val="%7."/>
      <w:lvlJc w:val="left"/>
      <w:pPr>
        <w:ind w:left="5040" w:hanging="360"/>
      </w:pPr>
    </w:lvl>
    <w:lvl w:ilvl="7" w:tplc="55817160" w:tentative="1">
      <w:start w:val="1"/>
      <w:numFmt w:val="lowerLetter"/>
      <w:lvlText w:val="%8."/>
      <w:lvlJc w:val="left"/>
      <w:pPr>
        <w:ind w:left="5760" w:hanging="360"/>
      </w:pPr>
    </w:lvl>
    <w:lvl w:ilvl="8" w:tplc="55817160" w:tentative="1">
      <w:start w:val="1"/>
      <w:numFmt w:val="lowerRoman"/>
      <w:lvlText w:val="%9."/>
      <w:lvlJc w:val="right"/>
      <w:pPr>
        <w:ind w:left="6480" w:hanging="180"/>
      </w:pPr>
    </w:lvl>
  </w:abstractNum>
  <w:abstractNum w:abstractNumId="27715994">
    <w:multiLevelType w:val="hybridMultilevel"/>
    <w:lvl w:ilvl="0" w:tplc="62213631">
      <w:start w:val="1"/>
      <w:numFmt w:val="decimal"/>
      <w:lvlText w:val="%1."/>
      <w:lvlJc w:val="left"/>
      <w:pPr>
        <w:ind w:left="720" w:hanging="360"/>
      </w:pPr>
    </w:lvl>
    <w:lvl w:ilvl="1" w:tplc="62213631" w:tentative="1">
      <w:start w:val="1"/>
      <w:numFmt w:val="lowerLetter"/>
      <w:lvlText w:val="%2."/>
      <w:lvlJc w:val="left"/>
      <w:pPr>
        <w:ind w:left="1440" w:hanging="360"/>
      </w:pPr>
    </w:lvl>
    <w:lvl w:ilvl="2" w:tplc="62213631" w:tentative="1">
      <w:start w:val="1"/>
      <w:numFmt w:val="lowerRoman"/>
      <w:lvlText w:val="%3."/>
      <w:lvlJc w:val="right"/>
      <w:pPr>
        <w:ind w:left="2160" w:hanging="180"/>
      </w:pPr>
    </w:lvl>
    <w:lvl w:ilvl="3" w:tplc="62213631" w:tentative="1">
      <w:start w:val="1"/>
      <w:numFmt w:val="decimal"/>
      <w:lvlText w:val="%4."/>
      <w:lvlJc w:val="left"/>
      <w:pPr>
        <w:ind w:left="2880" w:hanging="360"/>
      </w:pPr>
    </w:lvl>
    <w:lvl w:ilvl="4" w:tplc="62213631" w:tentative="1">
      <w:start w:val="1"/>
      <w:numFmt w:val="lowerLetter"/>
      <w:lvlText w:val="%5."/>
      <w:lvlJc w:val="left"/>
      <w:pPr>
        <w:ind w:left="3600" w:hanging="360"/>
      </w:pPr>
    </w:lvl>
    <w:lvl w:ilvl="5" w:tplc="62213631" w:tentative="1">
      <w:start w:val="1"/>
      <w:numFmt w:val="lowerRoman"/>
      <w:lvlText w:val="%6."/>
      <w:lvlJc w:val="right"/>
      <w:pPr>
        <w:ind w:left="4320" w:hanging="180"/>
      </w:pPr>
    </w:lvl>
    <w:lvl w:ilvl="6" w:tplc="62213631" w:tentative="1">
      <w:start w:val="1"/>
      <w:numFmt w:val="decimal"/>
      <w:lvlText w:val="%7."/>
      <w:lvlJc w:val="left"/>
      <w:pPr>
        <w:ind w:left="5040" w:hanging="360"/>
      </w:pPr>
    </w:lvl>
    <w:lvl w:ilvl="7" w:tplc="62213631" w:tentative="1">
      <w:start w:val="1"/>
      <w:numFmt w:val="lowerLetter"/>
      <w:lvlText w:val="%8."/>
      <w:lvlJc w:val="left"/>
      <w:pPr>
        <w:ind w:left="5760" w:hanging="360"/>
      </w:pPr>
    </w:lvl>
    <w:lvl w:ilvl="8" w:tplc="62213631" w:tentative="1">
      <w:start w:val="1"/>
      <w:numFmt w:val="lowerRoman"/>
      <w:lvlText w:val="%9."/>
      <w:lvlJc w:val="right"/>
      <w:pPr>
        <w:ind w:left="6480" w:hanging="180"/>
      </w:pPr>
    </w:lvl>
  </w:abstractNum>
  <w:abstractNum w:abstractNumId="96042961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0518509">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3153671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479812083">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834590678">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27391438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7715993">
    <w:multiLevelType w:val="hybridMultilevel"/>
    <w:lvl w:ilvl="0" w:tplc="45977261">
      <w:start w:val="1"/>
      <w:numFmt w:val="decimal"/>
      <w:lvlText w:val="%1."/>
      <w:lvlJc w:val="left"/>
      <w:pPr>
        <w:ind w:left="720" w:hanging="360"/>
      </w:pPr>
    </w:lvl>
    <w:lvl w:ilvl="1" w:tplc="45977261" w:tentative="1">
      <w:start w:val="1"/>
      <w:numFmt w:val="lowerLetter"/>
      <w:lvlText w:val="%2."/>
      <w:lvlJc w:val="left"/>
      <w:pPr>
        <w:ind w:left="1440" w:hanging="360"/>
      </w:pPr>
    </w:lvl>
    <w:lvl w:ilvl="2" w:tplc="45977261" w:tentative="1">
      <w:start w:val="1"/>
      <w:numFmt w:val="lowerRoman"/>
      <w:lvlText w:val="%3."/>
      <w:lvlJc w:val="right"/>
      <w:pPr>
        <w:ind w:left="2160" w:hanging="180"/>
      </w:pPr>
    </w:lvl>
    <w:lvl w:ilvl="3" w:tplc="45977261" w:tentative="1">
      <w:start w:val="1"/>
      <w:numFmt w:val="decimal"/>
      <w:lvlText w:val="%4."/>
      <w:lvlJc w:val="left"/>
      <w:pPr>
        <w:ind w:left="2880" w:hanging="360"/>
      </w:pPr>
    </w:lvl>
    <w:lvl w:ilvl="4" w:tplc="45977261" w:tentative="1">
      <w:start w:val="1"/>
      <w:numFmt w:val="lowerLetter"/>
      <w:lvlText w:val="%5."/>
      <w:lvlJc w:val="left"/>
      <w:pPr>
        <w:ind w:left="3600" w:hanging="360"/>
      </w:pPr>
    </w:lvl>
    <w:lvl w:ilvl="5" w:tplc="45977261" w:tentative="1">
      <w:start w:val="1"/>
      <w:numFmt w:val="lowerRoman"/>
      <w:lvlText w:val="%6."/>
      <w:lvlJc w:val="right"/>
      <w:pPr>
        <w:ind w:left="4320" w:hanging="180"/>
      </w:pPr>
    </w:lvl>
    <w:lvl w:ilvl="6" w:tplc="45977261" w:tentative="1">
      <w:start w:val="1"/>
      <w:numFmt w:val="decimal"/>
      <w:lvlText w:val="%7."/>
      <w:lvlJc w:val="left"/>
      <w:pPr>
        <w:ind w:left="5040" w:hanging="360"/>
      </w:pPr>
    </w:lvl>
    <w:lvl w:ilvl="7" w:tplc="45977261" w:tentative="1">
      <w:start w:val="1"/>
      <w:numFmt w:val="lowerLetter"/>
      <w:lvlText w:val="%8."/>
      <w:lvlJc w:val="left"/>
      <w:pPr>
        <w:ind w:left="5760" w:hanging="360"/>
      </w:pPr>
    </w:lvl>
    <w:lvl w:ilvl="8" w:tplc="45977261" w:tentative="1">
      <w:start w:val="1"/>
      <w:numFmt w:val="lowerRoman"/>
      <w:lvlText w:val="%9."/>
      <w:lvlJc w:val="right"/>
      <w:pPr>
        <w:ind w:left="6480" w:hanging="180"/>
      </w:pPr>
    </w:lvl>
  </w:abstractNum>
  <w:abstractNum w:abstractNumId="27715992">
    <w:multiLevelType w:val="hybridMultilevel"/>
    <w:lvl w:ilvl="0" w:tplc="73307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15992">
    <w:abstractNumId w:val="27715992"/>
  </w:num>
  <w:num w:numId="27715993">
    <w:abstractNumId w:val="27715993"/>
  </w:num>
  <w:num w:numId="273914381">
    <w:abstractNumId w:val="273914381"/>
  </w:num>
  <w:num w:numId="834590678">
    <w:abstractNumId w:val="834590678"/>
  </w:num>
  <w:num w:numId="479812083">
    <w:abstractNumId w:val="479812083"/>
  </w:num>
  <w:num w:numId="131536714">
    <w:abstractNumId w:val="131536714"/>
  </w:num>
  <w:num w:numId="90518509">
    <w:abstractNumId w:val="90518509"/>
  </w:num>
  <w:num w:numId="960429615">
    <w:abstractNumId w:val="960429615"/>
  </w:num>
  <w:num w:numId="27715994">
    <w:abstractNumId w:val="27715994"/>
  </w:num>
  <w:num w:numId="27715995">
    <w:abstractNumId w:val="27715995"/>
  </w:num>
  <w:num w:numId="27715996">
    <w:abstractNumId w:val="27715996"/>
  </w:num>
  <w:num w:numId="27715997">
    <w:abstractNumId w:val="27715997"/>
  </w:num>
  <w:num w:numId="27715998">
    <w:abstractNumId w:val="27715998"/>
  </w:num>
  <w:num w:numId="27715999">
    <w:abstractNumId w:val="27715999"/>
  </w:num>
  <w:num w:numId="27716000">
    <w:abstractNumId w:val="27716000"/>
  </w:num>
  <w:num w:numId="27716001">
    <w:abstractNumId w:val="27716001"/>
  </w:num>
  <w:num w:numId="27716002">
    <w:abstractNumId w:val="27716002"/>
  </w:num>
  <w:num w:numId="27716003">
    <w:abstractNumId w:val="27716003"/>
  </w:num>
  <w:num w:numId="27716004">
    <w:abstractNumId w:val="27716004"/>
  </w:num>
  <w:num w:numId="377291120">
    <w:abstractNumId w:val="377291120"/>
  </w:num>
  <w:num w:numId="491703302">
    <w:abstractNumId w:val="491703302"/>
  </w:num>
  <w:num w:numId="434129983">
    <w:abstractNumId w:val="434129983"/>
  </w:num>
  <w:num w:numId="939655584">
    <w:abstractNumId w:val="939655584"/>
  </w:num>
  <w:num w:numId="263445417">
    <w:abstractNumId w:val="263445417"/>
  </w:num>
  <w:num w:numId="941491510">
    <w:abstractNumId w:val="941491510"/>
  </w:num>
  <w:num w:numId="608071364">
    <w:abstractNumId w:val="608071364"/>
  </w:num>
  <w:num w:numId="933593227">
    <w:abstractNumId w:val="933593227"/>
  </w:num>
  <w:num w:numId="183058190">
    <w:abstractNumId w:val="183058190"/>
  </w:num>
  <w:num w:numId="409124505">
    <w:abstractNumId w:val="409124505"/>
  </w:num>
  <w:num w:numId="304955025">
    <w:abstractNumId w:val="304955025"/>
  </w:num>
  <w:num w:numId="981495652">
    <w:abstractNumId w:val="9814956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11538566" Type="http://schemas.openxmlformats.org/officeDocument/2006/relationships/numbering" Target="numbering.xml"/><Relationship Id="rId51697512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