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36991678" w:name="document"/>
    <w:bookmarkEnd w:id="36991678"/>
    <w:p/>
    <w:p>
      <w:pPr>
        <w:widowControl w:val="on"/>
        <w:pBdr/>
        <w:spacing w:before="0" w:after="280" w:line="240" w:lineRule="auto"/>
        <w:ind w:left="0" w:right="0"/>
        <w:jc w:val="left"/>
      </w:pPr>
      <w:r>
        <w:rPr>
          <w:rFonts w:ascii="Arial" w:hAnsi="Arial" w:eastAsia="Arial" w:cs="Arial"/>
          <w:color w:val="363A40"/>
          <w:sz w:val="24"/>
          <w:szCs w:val="24"/>
        </w:rPr>
        <w:t xml:space="preserve">Dokument-ID: 1044699 | Andrea Futterknecht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Geschäftsführerbestellung im Gesellschaftsvertrag</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Gesellschaftsvertrag</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1. Firma und Sitz</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Firma der Gesellschaft lautet: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ABC Handels GmbH</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Sitz der Gesellschaft ist Wiener Neustadt.</w:t>
            </w:r>
          </w:p>
        </w:tc>
      </w:tr>
    </w:tbl>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2. Gegenstand des Unternehmens</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Gegenstand des Unternehmens ist der Betrieb eines
Handelsunternehmens.</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Tätigkeit der Gesellschaft erstreckt sich auf das In- und
Ausland. Die Gesellschaft ist zu allen Handlungen berechtigt, die
geeignet erscheinen, den Gesellschaftszweck unmittelbar oder
mittelbar zu fördern. Die Gesellschaft ist berechtigt, im In- und
Ausland Tochtergesellschaften und Zweigniederlassungen zu
errichten. Die Gesellschaft ist nicht zur Vornahme von Geschäften
iSd Bankwesengesetzes berechtigt.</w:t>
            </w:r>
          </w:p>
        </w:tc>
      </w:tr>
    </w:tbl>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3. Dauer der Gesellschaft</w:t>
      </w:r>
    </w:p>
    <w:p>
      <w:pPr>
        <w:widowControl w:val="on"/>
        <w:pBdr/>
        <w:spacing w:before="140" w:after="240" w:line="288" w:lineRule="auto"/>
        <w:ind w:left="0" w:right="0"/>
        <w:jc w:val="left"/>
      </w:pPr>
      <w:r>
        <w:rPr>
          <w:rFonts w:ascii="Arial" w:hAnsi="Arial" w:eastAsia="Arial" w:cs="Arial"/>
          <w:color w:val="000000"/>
          <w:sz w:val="20"/>
          <w:szCs w:val="20"/>
        </w:rPr>
        <w:t xml:space="preserve">Die Gesellschaft wird auf unbestimmte Zeit errichtet.</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4. Geschäftsjahr</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Geschäftsjahr ist mit dem Kalenderjahr ident.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erste Geschäftsjahr beginnt mit der Eintragung der
Gesellschaft in das Firmenbuch und endet mit dem darauffolgenden
31. (einunddreißigsten) Dezember.</w:t>
            </w:r>
          </w:p>
        </w:tc>
      </w:tr>
    </w:tbl>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5. Stammkapital und
Stammeinlagen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Stammkapital der Gesellschaft beträgt EUR 35.000,–
(fünfunddreißigtausend Euro) und wird zur Hälfte von den
Gesellschaftern Berta Beispiel, geb 01.01.1971, Beispielweg 1, 2700
Wiener Neustadt, und Eva Exempel, geb 02.02.1972, 2700 Wiener
Neustadt, Wohnweg 33/33, als Stammeinlage übernommen.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Stammkapital ist zur Gänze bar einbezahlt.</w:t>
            </w:r>
          </w:p>
        </w:tc>
      </w:tr>
    </w:tbl>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6. Geschäftsführung und
Vertretung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Gesellschaft hat einen oder mehrere Geschäftsführer.</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Gesellschaft wird, wenn nur ein Geschäftsführer bestellt
ist, durch diesen vertreten. Sind mehrere Geschäftsführer bestellt,
so wird sie durch je zwei Geschäftsführer oder durch einen
Geschäftsführer gemeinsam mit einem Prokuristen vertreten. Die
Gesellschafter können jedoch einzelnen Geschäftsführern
Einzelvertretungsbefugnis einräumen.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 je einzelvertretungsberechtigten Geschäftsführern werden –
längstens auf die Dauer ihrer Gesellschaftereigenschaft – die
Gesellschafter Berta Beispiel und Eva Exempel bestellt. Ihr
Vertretungsrecht beginnt mit der Eintragung in das Firmenbuch.</w:t>
            </w:r>
          </w:p>
        </w:tc>
      </w:tr>
    </w:tbl>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7. Gründungskosten</w:t>
      </w:r>
    </w:p>
    <w:p>
      <w:pPr>
        <w:widowControl w:val="on"/>
        <w:pBdr/>
        <w:spacing w:before="140" w:after="240" w:line="288" w:lineRule="auto"/>
        <w:ind w:left="0" w:right="0"/>
        <w:jc w:val="left"/>
      </w:pPr>
      <w:r>
        <w:rPr>
          <w:rFonts w:ascii="Arial" w:hAnsi="Arial" w:eastAsia="Arial" w:cs="Arial"/>
          <w:color w:val="000000"/>
          <w:sz w:val="20"/>
          <w:szCs w:val="20"/>
        </w:rPr>
        <w:t xml:space="preserve">Alle mit der Errichtung und Registrierung der Gesellschaft
verbundenen Kosten, Gebühren und Abgaben werden bis zu einem
Höchstbetrag von EUR 5.000,– (fünftausend Euro) von der
Gesellschaft getragen und sind mit der tatsächlichen Höhe in den
ersten Jahresabschluss einzustellen.</w:t>
      </w:r>
    </w:p>
    <w:p>
      <w:pPr>
        <w:widowControl w:val="on"/>
        <w:pBdr/>
        <w:spacing w:before="200" w:after="200" w:line="300" w:lineRule="auto"/>
        <w:ind w:left="0" w:right="0"/>
        <w:jc w:val="center"/>
        <w:outlineLvl w:val="2"/>
      </w:pPr>
      <w:r>
        <w:rPr>
          <w:rFonts w:ascii="Arial" w:hAnsi="Arial" w:eastAsia="Arial" w:cs="Arial"/>
          <w:b/>
          <w:bCs/>
          <w:color w:val="363A40"/>
          <w:sz w:val="22"/>
          <w:szCs w:val="22"/>
        </w:rPr>
        <w:t xml:space="preserve">8. Allgemeine Bestimmungen</w:t>
      </w:r>
    </w:p>
    <w:p>
      <w:pPr>
        <w:widowControl w:val="on"/>
        <w:pBdr/>
        <w:spacing w:before="140" w:after="240" w:line="288" w:lineRule="auto"/>
        <w:ind w:left="0" w:right="0"/>
        <w:jc w:val="left"/>
      </w:pPr>
      <w:r>
        <w:rPr>
          <w:rFonts w:ascii="Arial" w:hAnsi="Arial" w:eastAsia="Arial" w:cs="Arial"/>
          <w:color w:val="000000"/>
          <w:sz w:val="20"/>
          <w:szCs w:val="20"/>
        </w:rPr>
        <w:t xml:space="preserve">Insofern durch diesen Gesellschaftsvertrag oder dessen gültige
Abänderungen oder durch Generalversammlungsbeschlüsse nichts
anderes bestimmt ist, gelten die Bestimmungen des Gesetzes über die
Gesellschaften mit beschränkter Haftung und die sonstigen
einschlägigen gesetzlichen Vorschriften.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Notariatsaktspflichtig</w:t>
      </w:r>
    </w:p>
    <w:p>
      <w:pPr>
        <w:widowControl w:val="on"/>
        <w:pBdr/>
        <w:spacing w:before="140" w:after="240" w:line="288" w:lineRule="auto"/>
        <w:ind w:left="0" w:right="0"/>
        <w:jc w:val="left"/>
      </w:pPr>
      <w:r>
        <w:rPr>
          <w:rFonts w:ascii="Arial" w:hAnsi="Arial" w:eastAsia="Arial" w:cs="Arial"/>
          <w:color w:val="000000"/>
          <w:sz w:val="20"/>
          <w:szCs w:val="20"/>
        </w:rPr>
        <w:t xml:space="preserve"> </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335433">
    <w:multiLevelType w:val="hybridMultilevel"/>
    <w:lvl w:ilvl="0" w:tplc="37330249">
      <w:start w:val="1"/>
      <w:numFmt w:val="decimal"/>
      <w:lvlText w:val="%1."/>
      <w:lvlJc w:val="left"/>
      <w:pPr>
        <w:ind w:left="720" w:hanging="360"/>
      </w:pPr>
    </w:lvl>
    <w:lvl w:ilvl="1" w:tplc="37330249" w:tentative="1">
      <w:start w:val="1"/>
      <w:numFmt w:val="lowerLetter"/>
      <w:lvlText w:val="%2."/>
      <w:lvlJc w:val="left"/>
      <w:pPr>
        <w:ind w:left="1440" w:hanging="360"/>
      </w:pPr>
    </w:lvl>
    <w:lvl w:ilvl="2" w:tplc="37330249" w:tentative="1">
      <w:start w:val="1"/>
      <w:numFmt w:val="lowerRoman"/>
      <w:lvlText w:val="%3."/>
      <w:lvlJc w:val="right"/>
      <w:pPr>
        <w:ind w:left="2160" w:hanging="180"/>
      </w:pPr>
    </w:lvl>
    <w:lvl w:ilvl="3" w:tplc="37330249" w:tentative="1">
      <w:start w:val="1"/>
      <w:numFmt w:val="decimal"/>
      <w:lvlText w:val="%4."/>
      <w:lvlJc w:val="left"/>
      <w:pPr>
        <w:ind w:left="2880" w:hanging="360"/>
      </w:pPr>
    </w:lvl>
    <w:lvl w:ilvl="4" w:tplc="37330249" w:tentative="1">
      <w:start w:val="1"/>
      <w:numFmt w:val="lowerLetter"/>
      <w:lvlText w:val="%5."/>
      <w:lvlJc w:val="left"/>
      <w:pPr>
        <w:ind w:left="3600" w:hanging="360"/>
      </w:pPr>
    </w:lvl>
    <w:lvl w:ilvl="5" w:tplc="37330249" w:tentative="1">
      <w:start w:val="1"/>
      <w:numFmt w:val="lowerRoman"/>
      <w:lvlText w:val="%6."/>
      <w:lvlJc w:val="right"/>
      <w:pPr>
        <w:ind w:left="4320" w:hanging="180"/>
      </w:pPr>
    </w:lvl>
    <w:lvl w:ilvl="6" w:tplc="37330249" w:tentative="1">
      <w:start w:val="1"/>
      <w:numFmt w:val="decimal"/>
      <w:lvlText w:val="%7."/>
      <w:lvlJc w:val="left"/>
      <w:pPr>
        <w:ind w:left="5040" w:hanging="360"/>
      </w:pPr>
    </w:lvl>
    <w:lvl w:ilvl="7" w:tplc="37330249" w:tentative="1">
      <w:start w:val="1"/>
      <w:numFmt w:val="lowerLetter"/>
      <w:lvlText w:val="%8."/>
      <w:lvlJc w:val="left"/>
      <w:pPr>
        <w:ind w:left="5760" w:hanging="360"/>
      </w:pPr>
    </w:lvl>
    <w:lvl w:ilvl="8" w:tplc="37330249" w:tentative="1">
      <w:start w:val="1"/>
      <w:numFmt w:val="lowerRoman"/>
      <w:lvlText w:val="%9."/>
      <w:lvlJc w:val="right"/>
      <w:pPr>
        <w:ind w:left="6480" w:hanging="180"/>
      </w:pPr>
    </w:lvl>
  </w:abstractNum>
  <w:abstractNum w:abstractNumId="20335432">
    <w:multiLevelType w:val="hybridMultilevel"/>
    <w:lvl w:ilvl="0" w:tplc="435554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335432">
    <w:abstractNumId w:val="20335432"/>
  </w:num>
  <w:num w:numId="20335433">
    <w:abstractNumId w:val="203354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08468255" Type="http://schemas.openxmlformats.org/officeDocument/2006/relationships/numbering" Target="numbering.xml"/><Relationship Id="rId124754654"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