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5575984" w:name="document"/>
    <w:bookmarkEnd w:id="15575984"/>
    <w:p/>
    <w:p>
      <w:pPr>
        <w:widowControl w:val="on"/>
        <w:pBdr/>
        <w:spacing w:before="0" w:after="280" w:line="240" w:lineRule="auto"/>
        <w:ind w:left="0" w:right="0"/>
        <w:jc w:val="left"/>
      </w:pPr>
      <w:r>
        <w:rPr>
          <w:rFonts w:ascii="Arial" w:hAnsi="Arial" w:eastAsia="Arial" w:cs="Arial"/>
          <w:color w:val="363A40"/>
          <w:sz w:val="24"/>
          <w:szCs w:val="24"/>
        </w:rPr>
        <w:t xml:space="preserve">Dokument-ID: 1110416 | Michael Achleitner -
Stefan Turic - Albert Scherzer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Allgemeine Checkliste für Grundbuchsgesuche</w:t>
      </w:r>
    </w:p>
    <w:p>
      <w:pPr>
        <w:numPr>
          <w:ilvl w:val="0"/>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Grundbuchsstand:</w:t>
      </w:r>
      <w:r>
        <w:rPr>
          <w:rFonts w:ascii="Arial" w:hAnsi="Arial" w:eastAsia="Arial" w:cs="Arial"/>
          <w:color w:val="000000"/>
          <w:sz w:val="20"/>
          <w:szCs w:val="20"/>
        </w:rPr>
        <w:br/>
        <w:t xml:space="preserve">Überprüfen, ob der Grundbuchsstand unverändert ist. Ist die letzte
TZ (Tagebuchzahl) unverändert? Wenn nein, aktuelle
Grundbuchsabschrift (Grundbuchsauszug) beschaffen und Änderungen
allenfalls berücksichtigen.</w:t>
      </w:r>
    </w:p>
    <w:p>
      <w:pPr>
        <w:numPr>
          <w:ilvl w:val="0"/>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Gesuche sind deutlich durch Anführung des Wortes
„GRUNDBUCHSSACHE“ als solche zu bezeichnen.</w:t>
      </w:r>
    </w:p>
    <w:p>
      <w:pPr>
        <w:numPr>
          <w:ilvl w:val="0"/>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Zuständiges Grundbuchsgericht:
</w:t>
      </w:r>
    </w:p>
    <w:p>
      <w:pPr>
        <w:numPr>
          <w:ilvl w:val="1"/>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Gesuche sind im Allgemeinen bei dem Gericht einzubringen, bei
dem sich die Einlage (Liegenschaft) befindet. Grundbuchsgesuche
sind grundsätzlich elektronisch einzubringen. In einfachen Fällen
können Grundbuchsanträge auch bei Gericht zu Protokoll gegeben
werden, dh mündlich bei Gericht vorgebracht werden.</w:t>
      </w:r>
    </w:p>
    <w:p>
      <w:pPr>
        <w:numPr>
          <w:ilvl w:val="1"/>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Wird der Antrag bei einem unzuständigen Gericht eingebracht, so
ist dieser, von den Fällen des § 111 Abs 2 GBG abgesehen,
abzuweisen. Eine Weiterleitung an das zuständige Grundbuchsgericht
ist nicht zulässig. Eine Entscheidung durch dieses Gericht würde zu
einer unheilbaren Nichtigkeit führen. Ebenso ist es unzulässig, ein
bei einem unzuständigen Gericht eingebrachtes Gesuch dem
Antragsteller auszufolgen, damit dieser den Antrag beim zuständigen
Gericht einbringen kann.</w:t>
      </w:r>
    </w:p>
    <w:p>
      <w:pPr>
        <w:numPr>
          <w:ilvl w:val="1"/>
          <w:numId w:val="923861449"/>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Ausnahmen:</w:t>
      </w:r>
    </w:p>
    <w:p>
      <w:pPr>
        <w:numPr>
          <w:ilvl w:val="2"/>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Gesuche, die Simultanpfandrechte betreffen, waren bisher immer
beim Gericht der Haupteinlage, Anträge auf Rangänderung der
Simultanhypothek in einer Nebeneinlage ebenso wie die Löschung
eines Pfandrechtes gem §§ 49 und 57 GBG beim Gericht der
betreffenden Nebeneinlage einzubringen. Seit der Aufgabe des
Systems von Haupteinlage und Nebeneinlage durch die
Grundbuchsnovelle 2008 und der zugleich geschaffenen Möglichkeit
des Grundbuchsgerichts, auch an einer „fremden“ Einlage zu
vollziehen, können diesbezügliche Gesuche nun grundsätzlich bei
jedem Grundbuchsgericht einer betroffenen Einlage eingebracht und
von diesem Gericht auch bei den Grundbüchern anderer Gerichte
vollzogen werden (§§ 18a ff GUG). Auch müssen nunmehr
sämtliche Eintragungen, die alle Einlagen betreffen, auch in allen
Einlagen eingetragen werden. Es empfiehlt sich, bei den zuständigen
Rechtspflegern nachzufragen, ob dafür die technischen Möglichkeiten
bereits gegeben sind.</w:t>
      </w:r>
    </w:p>
    <w:p>
      <w:pPr>
        <w:numPr>
          <w:ilvl w:val="2"/>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Verbücherung einer Einantwortungsurkunde ist beim
Verlassenschaftsgericht einzubringen.</w:t>
      </w:r>
    </w:p>
    <w:p>
      <w:pPr>
        <w:numPr>
          <w:ilvl w:val="0"/>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(Die) Antragsteller ist (sind) mit Vor- und Zunamen, Beruf
und genauer Wohnadresse anzugeben. Sinnvoll ist es, auch das
Geburtsdatum anzuführen.</w:t>
      </w:r>
      <w:r>
        <w:rPr>
          <w:rFonts w:ascii="Arial" w:hAnsi="Arial" w:eastAsia="Arial" w:cs="Arial"/>
          <w:color w:val="000000"/>
          <w:sz w:val="20"/>
          <w:szCs w:val="20"/>
        </w:rPr>
        <w:br/>
        <w:t xml:space="preserve">Auch wenn hundert oder mehr Personen einschreiten, befreit dies
nicht von der nach § 84 GBG erforderlichen Verpflichtung zur
Anführung sämtlicher Antragsteller.</w:t>
      </w:r>
      <w:r>
        <w:rPr>
          <w:rFonts w:ascii="Arial" w:hAnsi="Arial" w:eastAsia="Arial" w:cs="Arial"/>
          <w:color w:val="000000"/>
          <w:sz w:val="20"/>
          <w:szCs w:val="20"/>
        </w:rPr>
        <w:br/>
        <w:t xml:space="preserve">Seit in Kraft Treten der Grundbuchsnovelle 2008 am 01.01.2009 muss
darüber hinaus bei im Firmenbuch eingetragenen Rechtsträgern die
Firmenbuchnummer und bei inländischen Vereinen die
Vereinsregisterzahl angeführt werden. Für ausländische Rechtsträger
gilt dies nicht (§ 27 Abs 2 GBG nF).</w:t>
      </w:r>
    </w:p>
    <w:p>
      <w:pPr>
        <w:numPr>
          <w:ilvl w:val="0"/>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Bewilligung kann nur hinsichtlich jener Eintragungen
geschehen, über die die Summe der Einschreiter verfügen kann.</w:t>
      </w:r>
    </w:p>
    <w:p>
      <w:pPr>
        <w:numPr>
          <w:ilvl w:val="0"/>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Wird das Gesuch von einem Vertreter eingebracht, so ist die
entsprechende Einschreitervollmacht vorzulegen, wobei eine
beglaubigte Abschrift ausreicht.</w:t>
      </w:r>
      <w:r>
        <w:rPr>
          <w:rFonts w:ascii="Arial" w:hAnsi="Arial" w:eastAsia="Arial" w:cs="Arial"/>
          <w:color w:val="000000"/>
          <w:sz w:val="20"/>
          <w:szCs w:val="20"/>
        </w:rPr>
        <w:br/>
        <w:t xml:space="preserve">Ist der Vertreter ein öffentlicher Notar oder Rechtsanwalt, so
reicht die Berufung auf die erteilte Vollmacht aus.</w:t>
      </w:r>
    </w:p>
    <w:p>
      <w:pPr>
        <w:numPr>
          <w:ilvl w:val="0"/>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Werden mit dem Gesuch auch Eintragungen gegen den Antragsteller
begehrt, so muss die Berufung auf die erteilte Vollmacht lauten:
„Vollmacht gem § 30 Abs 2 ZPO iVm § 77 Abs 1
GBG erteilt“.</w:t>
      </w:r>
    </w:p>
    <w:p>
      <w:pPr>
        <w:numPr>
          <w:ilvl w:val="0"/>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Gegenstand des Gesuches ist durch stichwortartige Anführung
der begehrten Eintragungen und der Liegenschaften, wenn nur
Miteigentumsanteile betroffen sind, durch Nennung der laufenden
Nummer (B-LNR), anzugeben.</w:t>
      </w:r>
    </w:p>
    <w:p>
      <w:pPr>
        <w:numPr>
          <w:ilvl w:val="0"/>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Angabe, dass das Gesuch einfach mit einer bestimmten Anzahl
von Halbschriften eingebracht wird, kann unterbleiben, ebenso die
Anführung der Urkunden.</w:t>
      </w:r>
      <w:r>
        <w:rPr>
          <w:rFonts w:ascii="Arial" w:hAnsi="Arial" w:eastAsia="Arial" w:cs="Arial"/>
          <w:color w:val="000000"/>
          <w:sz w:val="20"/>
          <w:szCs w:val="20"/>
        </w:rPr>
        <w:br/>
        <w:t xml:space="preserve">Der Beamte der Einlaufstelle hat – unabhängig davon, ob auf dem
Gesuch angeführt ist, wievielfach dieses eingebracht wird und ob
Halbschriften angeschlossen sind bzw welche Beilagen vorgelegt
werden – auf dem Eingangsvermerk nach Prüfung festzuhalten, ob es
einfach eingebracht wurde, wie viele Halbschriften und Beilagen
angeschlossen sind.</w:t>
      </w:r>
      <w:r>
        <w:rPr>
          <w:rFonts w:ascii="Arial" w:hAnsi="Arial" w:eastAsia="Arial" w:cs="Arial"/>
          <w:color w:val="000000"/>
          <w:sz w:val="20"/>
          <w:szCs w:val="20"/>
        </w:rPr>
        <w:br/>
        <w:t xml:space="preserve">Wie aus den Musteranträgen zu ersehen ist, wird auf Seite 1 des
Gesuches aufgrund der umseits genannten Urkunden die Erlassung des
nachstehenden Beschlusses beantragt, sodass dadurch auf die
vorgelegten Urkunden verwiesen wird.</w:t>
      </w:r>
    </w:p>
    <w:p>
      <w:pPr>
        <w:numPr>
          <w:ilvl w:val="0"/>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Gesuche sind grundsätzlich einfach einzubringen.</w:t>
      </w:r>
    </w:p>
    <w:p>
      <w:pPr>
        <w:numPr>
          <w:ilvl w:val="0"/>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beizulegende Anzahl der Halbschriften (= Beschlussentwurf
ohne Seite 1 des Gesuches) richtet sich nach der Zahl der von der
Erledigung zu verständigenden Personen sowie einer weiteren
Halbschrift für den Akt.</w:t>
      </w:r>
      <w:r>
        <w:rPr>
          <w:rFonts w:ascii="Arial" w:hAnsi="Arial" w:eastAsia="Arial" w:cs="Arial"/>
          <w:color w:val="000000"/>
          <w:sz w:val="20"/>
          <w:szCs w:val="20"/>
        </w:rPr>
        <w:br/>
        <w:t xml:space="preserve">Ist die Zustellung des Beschlusses zB an sechs Personen, Behörden
bzw Ämter vorzunehmen, so sind sieben Halbschriften
vorzulegen.</w:t>
      </w:r>
      <w:r>
        <w:rPr>
          <w:rFonts w:ascii="Arial" w:hAnsi="Arial" w:eastAsia="Arial" w:cs="Arial"/>
          <w:color w:val="000000"/>
          <w:sz w:val="20"/>
          <w:szCs w:val="20"/>
        </w:rPr>
        <w:br/>
        <w:t xml:space="preserve">Bei Rangordnungsgesuchen sollte darauf geachtet werden, dass als
Halbschrift nur der Beschlussentwurf ohne Unterfertigung und
Beglaubigungsvermerk vorgelegt wird.</w:t>
      </w:r>
    </w:p>
    <w:p>
      <w:pPr>
        <w:numPr>
          <w:ilvl w:val="0"/>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 Seite 2 des Gesuches ist das Begehren in Beschlussform
darzustellen, wobei aus den Musteranträgen ersichtlich ist, dass
zwar die begehrten Eintragungen bestimmt sind (§ 85 Abs 2
GBG), darüber hinaus jedoch die Form variiert.</w:t>
      </w:r>
    </w:p>
    <w:p>
      <w:pPr>
        <w:numPr>
          <w:ilvl w:val="0"/>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Grundbuchsstand ist nur antragsbezogen anzugeben. Aufgrund
der technischen Möglichkeiten ist die Überspielung des
Grundbuchsstandes von der Grundstücksdatenbank in die
Textverarbeitung leicht durchführbar. Das ist jedoch kein Grund zur
Wiedergabe der gesamten Liegenschaft im Grundbuchsstand, wenn dies
nicht erforderlich ist. So ist zB beim Antrag auf Anmerkung einer
Rangordnung (§ 53 GBG) die Anführung des Lastenblattes nicht
nötig.</w:t>
      </w:r>
    </w:p>
    <w:p>
      <w:pPr>
        <w:numPr>
          <w:ilvl w:val="0"/>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Betrifft der Antrag nur einzelne Miteigentumsanteile, so sind
nur diese mit allenfalls diese betreffenden Belastungen
anzuführen.</w:t>
      </w:r>
    </w:p>
    <w:p>
      <w:pPr>
        <w:numPr>
          <w:ilvl w:val="0"/>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Urkunden (Beilagen), die als Eintragungsgrundlage dienen, sind
mit Buchstaben (zB [./= Beilagenzeichen] ./A, ./B, ./C, ./D) zu
bezeichnen. Eintragungsgrundlagen können zB Kauf-, Tausch-,
Schenkungsvertrag, Schuld- und Pfandbestellungsurkunde,
(Teil-)Löschungserklärung, Freilassungserklärung, Teilungsplan,
Bescheid der Baubehörde mit der Verpflichtung zur Abtretung in das
öffentliche Gut sein.</w:t>
      </w:r>
    </w:p>
    <w:p>
      <w:pPr>
        <w:numPr>
          <w:ilvl w:val="0"/>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Entscheidungsgrundlagen sind mit Ziffern (zB ./1, ./2, ./3) zu
benennen. Entscheidungsgrundlagen sind zB der
Staatsbürgerschafts-nachweis, die Geburtsurkunde, der
Rangordnungsbeschluss, die Unbedenklichkeitsbescheinigung bzw an
deren Stelle die Erklärung über die Selbstberechnung.</w:t>
      </w:r>
    </w:p>
    <w:p>
      <w:pPr>
        <w:numPr>
          <w:ilvl w:val="0"/>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Grundsätzlich sind die Urkunden (Beilagen) im Original
(§ 87 Abs 1 GBG) vorzulegen.</w:t>
      </w:r>
      <w:r>
        <w:rPr>
          <w:rFonts w:ascii="Arial" w:hAnsi="Arial" w:eastAsia="Arial" w:cs="Arial"/>
          <w:color w:val="000000"/>
          <w:sz w:val="20"/>
          <w:szCs w:val="20"/>
        </w:rPr>
        <w:br/>
        <w:t xml:space="preserve">Wird die Rücksendung der Urkunden bzw Beilagen gewünscht, so sind
auch Kopien beizulegen. Ausnahme hievon ist der
Rangordnungsbeschluss. Hier genügt die Vorlage der einzigen
Ausfertigung (ohne Kopie). Bei Ab- und Zuschreibung zwischen zwei
Gerichten oder bei „Rundreisegesuchen“, welche zwei- oder mehrfach
einzubringen sind, ist auch die entsprechende Anzahl der Kopien für
jedes einzelne Grundbuchsgericht vorzulegen.</w:t>
      </w:r>
      <w:r>
        <w:rPr>
          <w:rFonts w:ascii="Arial" w:hAnsi="Arial" w:eastAsia="Arial" w:cs="Arial"/>
          <w:color w:val="000000"/>
          <w:sz w:val="20"/>
          <w:szCs w:val="20"/>
        </w:rPr>
        <w:br/>
        <w:t xml:space="preserve">Befindet sich bereits eine Kopie einer Urkunde bei Gericht (in der
Urkundensammlung), so muss keine Kopie vorgelegt werden. Es genügt
der Hinweis darauf mit einem Verweisungsblatt (Format A4), dass
eine Kopie zB des Kaufvertrages vom … [Datum] zu TZ 10859/98
erliegt.</w:t>
      </w:r>
      <w:r>
        <w:rPr>
          <w:rFonts w:ascii="Arial" w:hAnsi="Arial" w:eastAsia="Arial" w:cs="Arial"/>
          <w:color w:val="000000"/>
          <w:sz w:val="20"/>
          <w:szCs w:val="20"/>
        </w:rPr>
        <w:br/>
        <w:t xml:space="preserve">Werden mehrere Gesuche (zB beim Abverkauf von Anteilen)
hintereinander überreicht, ist eine Kopie beizubringen und
anzugeben, wo sich das Original befindet (zB Original-Kaufvertrag
vom … [Datum] befindet sich beim gleichzeitig überreichten Gesuch
des XX [§ 87 Abs 2 GBG]). Das Original der Urkunde wird
sinnvollerweise dem ersten Gesuch beigelegt.</w:t>
      </w:r>
    </w:p>
    <w:p>
      <w:pPr>
        <w:numPr>
          <w:ilvl w:val="0"/>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Urkunden müssen frei von solchen Mängeln sein, die ihre
Glaubwürdigkeit herabsetzen (Lesbarkeit, Heftung, Ausbesserungen,
Radierungen) (§ 27 Abs 1 GBG).</w:t>
      </w:r>
    </w:p>
    <w:p>
      <w:pPr>
        <w:numPr>
          <w:ilvl w:val="0"/>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Jede Urkunde muss zu ihrer Gültigkeit Ort und Datum der
Ausfertigung enthalten (§ 27 Abs 2 GBG). Die allgemeine
Voraussetzung einer Grundbuchsurkunde besteht gem § 27
Abs 2 GBG darin, Ort, Tag, Monat und Jahr „der Ausfertigung
der Urkunde“ anzuführen (RIS-Justiz RS0117703).</w:t>
      </w:r>
    </w:p>
    <w:p>
      <w:pPr>
        <w:numPr>
          <w:ilvl w:val="0"/>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Begehren ist genau anzugeben, was im Grundbuch eingetragen
werden soll (§ 85 Abs 2 GBG).</w:t>
      </w:r>
      <w:r>
        <w:rPr>
          <w:rFonts w:ascii="Arial" w:hAnsi="Arial" w:eastAsia="Arial" w:cs="Arial"/>
          <w:color w:val="000000"/>
          <w:sz w:val="20"/>
          <w:szCs w:val="20"/>
        </w:rPr>
        <w:br/>
        <w:t xml:space="preserve">Mehrere Eintragungen, die durch dieselbe Urkunde begründet werden,
sowie die Eintragung eines Rechtes in mehreren Grundbuchseinlagen
oder die Eintragung mehrerer Rechte in einer Grundbuchseinlage
können mit einem einzigen Gesuch begehrt werden (§ 86 GBG).
Hier muss jedoch darauf geachtet werden, dass keine unzulässige
Kumulierung erfolgt.</w:t>
      </w:r>
    </w:p>
    <w:p>
      <w:pPr>
        <w:numPr>
          <w:ilvl w:val="0"/>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genauer Angabe der Eintragungen, deren Bewilligung
beantragt wird, ist anzugeben, an wen die Zustellung des
Beschlusses zu erfolgen hat. Im Detail wird auf die jeweiligen
Musteranträge hingewiesen, aus welchen zu entnehmen ist, wer zu
verständigen ist.</w:t>
      </w:r>
      <w:r>
        <w:rPr>
          <w:rFonts w:ascii="Arial" w:hAnsi="Arial" w:eastAsia="Arial" w:cs="Arial"/>
          <w:color w:val="000000"/>
          <w:sz w:val="20"/>
          <w:szCs w:val="20"/>
        </w:rPr>
        <w:br/>
        <w:t xml:space="preserve">Verständigungen der Republik Österreich können rechtswirksam nur an
die Finanzprokuratur, 1011-Wien, Singerstr 17–19 erfolgen (OGH
RpflSlgG 219, 231).</w:t>
      </w:r>
      <w:r>
        <w:rPr>
          <w:rFonts w:ascii="Arial" w:hAnsi="Arial" w:eastAsia="Arial" w:cs="Arial"/>
          <w:color w:val="000000"/>
          <w:sz w:val="20"/>
          <w:szCs w:val="20"/>
        </w:rPr>
        <w:br/>
        <w:t xml:space="preserve">Die Zustellung an das Amt der Landesregierung ersetzt nicht die
eigenhändige Zustellung an den Landeshauptmann (OGH RpflSlgG
198).</w:t>
      </w:r>
      <w:r>
        <w:rPr>
          <w:rFonts w:ascii="Arial" w:hAnsi="Arial" w:eastAsia="Arial" w:cs="Arial"/>
          <w:color w:val="000000"/>
          <w:sz w:val="20"/>
          <w:szCs w:val="20"/>
        </w:rPr>
        <w:br/>
        <w:t xml:space="preserve">Analog dazu hat die Zustellung an eine Gemeinde zuhanden des
Bürgermeisters zu erfolgen.</w:t>
      </w:r>
    </w:p>
    <w:p>
      <w:pPr>
        <w:numPr>
          <w:ilvl w:val="0"/>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jedem Grundbuchsantrag ist die Eingabengebühr gem
TP 9a GGG zu entrichten. Wird die Eingabengebühr nicht oder
nicht zur Gänze entrichtet, so ist mit der Vorschreibung eines
Mehrbetrages gem § 31 Abs 1 GGG zu rechnen.</w:t>
      </w:r>
    </w:p>
    <w:p>
      <w:pPr>
        <w:numPr>
          <w:ilvl w:val="0"/>
          <w:numId w:val="92386144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Abschließend ist das Gesuch zu unterschreiben. Der
Antragsteller oder Vertreter muss das Gesuch entweder auf Seite 1
bei seinem Namen oder am Ende des Gesuches unterfertigen. Weiters
sind Ort und Datum anzugeben. Dies ist unbedingt bei Gesuchen um
Anmerkung der Rangordnung zu beachten, da diese den Charakter einer
Urkunde haben.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3861449">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26004715">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9223827">
    <w:multiLevelType w:val="hybridMultilevel"/>
    <w:lvl w:ilvl="0" w:tplc="84231273">
      <w:start w:val="1"/>
      <w:numFmt w:val="decimal"/>
      <w:lvlText w:val="%1."/>
      <w:lvlJc w:val="left"/>
      <w:pPr>
        <w:ind w:left="720" w:hanging="360"/>
      </w:pPr>
    </w:lvl>
    <w:lvl w:ilvl="1" w:tplc="84231273" w:tentative="1">
      <w:start w:val="1"/>
      <w:numFmt w:val="lowerLetter"/>
      <w:lvlText w:val="%2."/>
      <w:lvlJc w:val="left"/>
      <w:pPr>
        <w:ind w:left="1440" w:hanging="360"/>
      </w:pPr>
    </w:lvl>
    <w:lvl w:ilvl="2" w:tplc="84231273" w:tentative="1">
      <w:start w:val="1"/>
      <w:numFmt w:val="lowerRoman"/>
      <w:lvlText w:val="%3."/>
      <w:lvlJc w:val="right"/>
      <w:pPr>
        <w:ind w:left="2160" w:hanging="180"/>
      </w:pPr>
    </w:lvl>
    <w:lvl w:ilvl="3" w:tplc="84231273" w:tentative="1">
      <w:start w:val="1"/>
      <w:numFmt w:val="decimal"/>
      <w:lvlText w:val="%4."/>
      <w:lvlJc w:val="left"/>
      <w:pPr>
        <w:ind w:left="2880" w:hanging="360"/>
      </w:pPr>
    </w:lvl>
    <w:lvl w:ilvl="4" w:tplc="84231273" w:tentative="1">
      <w:start w:val="1"/>
      <w:numFmt w:val="lowerLetter"/>
      <w:lvlText w:val="%5."/>
      <w:lvlJc w:val="left"/>
      <w:pPr>
        <w:ind w:left="3600" w:hanging="360"/>
      </w:pPr>
    </w:lvl>
    <w:lvl w:ilvl="5" w:tplc="84231273" w:tentative="1">
      <w:start w:val="1"/>
      <w:numFmt w:val="lowerRoman"/>
      <w:lvlText w:val="%6."/>
      <w:lvlJc w:val="right"/>
      <w:pPr>
        <w:ind w:left="4320" w:hanging="180"/>
      </w:pPr>
    </w:lvl>
    <w:lvl w:ilvl="6" w:tplc="84231273" w:tentative="1">
      <w:start w:val="1"/>
      <w:numFmt w:val="decimal"/>
      <w:lvlText w:val="%7."/>
      <w:lvlJc w:val="left"/>
      <w:pPr>
        <w:ind w:left="5040" w:hanging="360"/>
      </w:pPr>
    </w:lvl>
    <w:lvl w:ilvl="7" w:tplc="84231273" w:tentative="1">
      <w:start w:val="1"/>
      <w:numFmt w:val="lowerLetter"/>
      <w:lvlText w:val="%8."/>
      <w:lvlJc w:val="left"/>
      <w:pPr>
        <w:ind w:left="5760" w:hanging="360"/>
      </w:pPr>
    </w:lvl>
    <w:lvl w:ilvl="8" w:tplc="84231273" w:tentative="1">
      <w:start w:val="1"/>
      <w:numFmt w:val="lowerRoman"/>
      <w:lvlText w:val="%9."/>
      <w:lvlJc w:val="right"/>
      <w:pPr>
        <w:ind w:left="6480" w:hanging="180"/>
      </w:pPr>
    </w:lvl>
  </w:abstractNum>
  <w:abstractNum w:abstractNumId="89223826">
    <w:multiLevelType w:val="hybridMultilevel"/>
    <w:lvl w:ilvl="0" w:tplc="23184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223826">
    <w:abstractNumId w:val="89223826"/>
  </w:num>
  <w:num w:numId="89223827">
    <w:abstractNumId w:val="89223827"/>
  </w:num>
  <w:num w:numId="526004715">
    <w:abstractNumId w:val="526004715"/>
  </w:num>
  <w:num w:numId="923861449">
    <w:abstractNumId w:val="9238614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66629592" Type="http://schemas.openxmlformats.org/officeDocument/2006/relationships/numbering" Target="numbering.xml"/><Relationship Id="rId28968652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