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475794" w:name="document"/>
    <w:bookmarkEnd w:id="8475794"/>
    <w:p/>
    <w:p>
      <w:pPr>
        <w:widowControl w:val="on"/>
        <w:pBdr/>
        <w:spacing w:before="0" w:after="280" w:line="240" w:lineRule="auto"/>
        <w:ind w:left="0" w:right="0"/>
        <w:jc w:val="left"/>
      </w:pPr>
      <w:r>
        <w:rPr>
          <w:rFonts w:ascii="Arial" w:hAnsi="Arial" w:eastAsia="Arial" w:cs="Arial"/>
          <w:color w:val="363A40"/>
          <w:sz w:val="24"/>
          <w:szCs w:val="24"/>
        </w:rPr>
        <w:t xml:space="preserve">Dokument-ID: 550275 | Iman Torabia - Albert
Scherzer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Rechte und Pflichten des Verwalters</w:t>
      </w:r>
    </w:p>
    <w:p>
      <w:pPr>
        <w:numPr>
          <w:ilvl w:val="0"/>
          <w:numId w:val="473796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Vertretung der Eigentümergemeinschaft (18 WEG 2002)</w:t>
      </w:r>
    </w:p>
    <w:p>
      <w:pPr>
        <w:numPr>
          <w:ilvl w:val="0"/>
          <w:numId w:val="473796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Wahrung der gemeinschaftsbezogenen Interessen aller
WE-Eigentümer (§ 20 Abs 1 WEG 2002).Die Einhaltung der
Pflichten des § 20 Abs 1 WEG 2002 – sei es die
Interessenwahrungspflicht den Wohnungseigentümern gegenüber oder
die Verpflichtung zur Befolgung von Weisungen – stellt kein
Individualrecht der Wohnungseigentümer dar (OGH 29.08.2017, 5 Ob
115/17y)</w:t>
      </w:r>
    </w:p>
    <w:p>
      <w:pPr>
        <w:numPr>
          <w:ilvl w:val="0"/>
          <w:numId w:val="473796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Befolgung von Weisungen der WE-Eigentümer, soweit diese nicht
gesetzwidrig sind (§ 20 Abs 1 WEG 2002). Eine
rechtswirksame Weisung an den Verwalter bedarf einer förmlichen
Beschlussfassung der Eigentümergemeinschaft. Für die Auslegung des
Beschlusses einer Eigentümergemeinschaft ist ausschließlich der
angeschlagene Wortlaut des Beschlusses maßgeblich.</w:t>
      </w:r>
    </w:p>
    <w:p>
      <w:pPr>
        <w:numPr>
          <w:ilvl w:val="0"/>
          <w:numId w:val="473796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Verwaltung der Liegenschaft (§ 20 Abs 1 WEG
2002)</w:t>
      </w:r>
    </w:p>
    <w:p>
      <w:pPr>
        <w:numPr>
          <w:ilvl w:val="0"/>
          <w:numId w:val="473796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außen unbeschränkte Vertretung der Eigentümergemeinschaft
(§ 20 Abs 1 WEG 2002)</w:t>
      </w:r>
    </w:p>
    <w:p>
      <w:pPr>
        <w:numPr>
          <w:ilvl w:val="0"/>
          <w:numId w:val="473796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Befugnis der Bestellung eines berufsmäßigen Parteienvertreters
(§ 20 Abs 1 WEG 2002)</w:t>
      </w:r>
    </w:p>
    <w:p>
      <w:pPr>
        <w:numPr>
          <w:ilvl w:val="0"/>
          <w:numId w:val="473796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Zurkenntnisbringen einer Vorausschau bis spätestens zum Ende
der laufenden Abrechnungsperiode (§ 20 Abs 2 WEG 2002).
Es geht in der neuen Vorausschau nicht nur um in der folgenden
Abrechnungsperiode notwendige Erhaltungsarbeiten, sondern überhaupt
um „in absehbarer Zeit“ notwendige Erhaltungsarbeiten (RIS-Justiz
RS0122300).</w:t>
      </w:r>
    </w:p>
    <w:p>
      <w:pPr>
        <w:numPr>
          <w:ilvl w:val="0"/>
          <w:numId w:val="473796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Legung einer ordentlichen und richtigen Abrechnung
gegebenenfalls nach den Regelungen des
Heizkostenabrechnungsgesetzes: Abrechnung bzgl Heiz- und
Warmwasserkosten (§ 20 Abs 3 WEG 2002)</w:t>
      </w:r>
    </w:p>
    <w:p>
      <w:pPr>
        <w:numPr>
          <w:ilvl w:val="0"/>
          <w:numId w:val="473796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Vorlegen eines höchstens zehn Jahre alten Energieausweises nach
§ 2 Z 3 EAVG für das gesamte Gebäude</w:t>
      </w:r>
    </w:p>
    <w:p>
      <w:pPr>
        <w:numPr>
          <w:ilvl w:val="0"/>
          <w:numId w:val="473796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Abschluss eines Rechtsgeschäftes mit einer Person, die zu
ihm in einem familiären oder wirtschaftlichen Naheverhältnis steht,
müssen die Wohnungseigentümer darauf hingewiesen werden</w:t>
      </w:r>
    </w:p>
    <w:p>
      <w:pPr>
        <w:numPr>
          <w:ilvl w:val="0"/>
          <w:numId w:val="473796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Einholung von mindestens drei Anboten für Erhaltungsarbeiten,
die über die laufende Instandhaltung und größere
Verbesserungsarbeiten hinausgehen (§ 20 Abs 4 WEG
2002)</w:t>
      </w:r>
    </w:p>
    <w:p>
      <w:pPr>
        <w:numPr>
          <w:ilvl w:val="0"/>
          <w:numId w:val="473796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Einmahnung und Klage von rückständigen Zahlungen der
Wohnungseigentümer nach § 27 Abs 2 WEG 2002 binnen sechs
Monaten und Beantragung der diesbezüglichen Klagsanmerkung
(§ 20 Abs 5 WEG 2002)</w:t>
      </w:r>
    </w:p>
    <w:p>
      <w:pPr>
        <w:numPr>
          <w:ilvl w:val="0"/>
          <w:numId w:val="473796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Anlegung eines treuhändigen Eigenkontos für die
Eigentümergemeinschaft (§ 20 Abs 6 WEG 2002)</w:t>
      </w:r>
    </w:p>
    <w:p>
      <w:pPr>
        <w:numPr>
          <w:ilvl w:val="0"/>
          <w:numId w:val="473796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Verbindlichkeiten gem § 22 Hauptstück ABGB können
weder aufgehoben noch beschränkt werden (§ 20 Abs 7 WEG
2002)</w:t>
      </w:r>
    </w:p>
    <w:p>
      <w:pPr>
        <w:numPr>
          <w:ilvl w:val="0"/>
          <w:numId w:val="473796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Auflösung des auf unbestimmte Zeit laufenden
Verwaltungsvertrages unter Einhaltung einer dreimonatigen
Kündigungsfrist zum Ende einer jeden Abrechnungsperiode (§ 21
Abs 1 WEG 2002)</w:t>
      </w:r>
    </w:p>
    <w:p>
      <w:pPr>
        <w:numPr>
          <w:ilvl w:val="0"/>
          <w:numId w:val="473796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Kündigung des auf bestimmte mehr als dreijährige Zeit
bestellten Verwaltungsvertrages ohne Angabe von Gründen unter
Einhaltung einer Dreimonatsfrist zum Ende jeder Abrechnungsperiode
(§ 21 Abs 2 WEG 2002)</w:t>
      </w:r>
    </w:p>
    <w:p>
      <w:pPr>
        <w:numPr>
          <w:ilvl w:val="0"/>
          <w:numId w:val="473796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Einberufung einer Eigentümerversammlung alle zwei Jahre, soweit
nichts anderes vereinbart oder mit einer Mehrheit von zwei Dritteln
der Anteile beschlossen wird (§ 25 Abs 1 WEG 2002)</w:t>
      </w:r>
    </w:p>
    <w:p>
      <w:pPr>
        <w:numPr>
          <w:ilvl w:val="0"/>
          <w:numId w:val="473796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Protokollaufnahme bei der Eigentümerversammlung (§ 25
Abs 3 WEG 2002)</w:t>
      </w:r>
      <w:r>
        <w:rPr>
          <w:rFonts w:ascii="Arial" w:hAnsi="Arial" w:eastAsia="Arial" w:cs="Arial"/>
          <w:color w:val="000000"/>
          <w:sz w:val="20"/>
          <w:szCs w:val="20"/>
        </w:rPr>
        <w:br/>
        <w:t xml:space="preserve">Hat eine Abstimmung keine Mehrheit der Miteigentumsanteile für oder
gegen einen Vorschlag ergeben: Aufforderung zur Herbeiführung eines
Beschlusses</w:t>
      </w:r>
    </w:p>
    <w:p>
      <w:pPr>
        <w:numPr>
          <w:ilvl w:val="0"/>
          <w:numId w:val="473796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Aufnahme einer Niederschrift der Ergebnisse und Beschlüsse der
Eigentümerversammlung (§ 25 Abs 3 2002)</w:t>
      </w:r>
    </w:p>
    <w:p>
      <w:pPr>
        <w:numPr>
          <w:ilvl w:val="0"/>
          <w:numId w:val="473796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Durchführung von Maßnahmen der ao Verwaltung nur aufgrund
rechtswirksamer Beschlüsse nach § 29 Abs 1 WEG 2002
(§ 29 Abs 6 WEG 2002)</w:t>
      </w:r>
    </w:p>
    <w:p>
      <w:pPr>
        <w:numPr>
          <w:ilvl w:val="0"/>
          <w:numId w:val="473796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Abrechnungs- und Herausgabepflicht des Überschusses
hinsichtlich der Rücklage bei Beendigung des Verwaltungsvertrages
(§ 31 Abs 3 WEG 2002)</w:t>
      </w:r>
    </w:p>
    <w:p>
      <w:pPr>
        <w:numPr>
          <w:ilvl w:val="0"/>
          <w:numId w:val="473796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Abrechnungslegungspflicht innerhalb von sechs Monaten nach
Ablauf der Abrechnungsperiode (§ 34 Abs 1 WEG 2002). Im
Zusammenhang mit Wohnungseigentum unterliegt der Anspruch auf
Rechnungslegung des einzelnen Wohnungseigentümers gegenüber dem
auch nur faktisch verwaltenden Mit und Wohnungseigentümer oder auch
Dritten daher der dreijährigen Verjährungsfrist nach § 34
Abs 1 letzter Satz WEG 2002 analog (OGH 13.12.2018, 5 Ob
200/18z).</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79641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0356297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7338491">
    <w:multiLevelType w:val="hybridMultilevel"/>
    <w:lvl w:ilvl="0" w:tplc="25797944">
      <w:start w:val="1"/>
      <w:numFmt w:val="decimal"/>
      <w:lvlText w:val="%1."/>
      <w:lvlJc w:val="left"/>
      <w:pPr>
        <w:ind w:left="720" w:hanging="360"/>
      </w:pPr>
    </w:lvl>
    <w:lvl w:ilvl="1" w:tplc="25797944" w:tentative="1">
      <w:start w:val="1"/>
      <w:numFmt w:val="lowerLetter"/>
      <w:lvlText w:val="%2."/>
      <w:lvlJc w:val="left"/>
      <w:pPr>
        <w:ind w:left="1440" w:hanging="360"/>
      </w:pPr>
    </w:lvl>
    <w:lvl w:ilvl="2" w:tplc="25797944" w:tentative="1">
      <w:start w:val="1"/>
      <w:numFmt w:val="lowerRoman"/>
      <w:lvlText w:val="%3."/>
      <w:lvlJc w:val="right"/>
      <w:pPr>
        <w:ind w:left="2160" w:hanging="180"/>
      </w:pPr>
    </w:lvl>
    <w:lvl w:ilvl="3" w:tplc="25797944" w:tentative="1">
      <w:start w:val="1"/>
      <w:numFmt w:val="decimal"/>
      <w:lvlText w:val="%4."/>
      <w:lvlJc w:val="left"/>
      <w:pPr>
        <w:ind w:left="2880" w:hanging="360"/>
      </w:pPr>
    </w:lvl>
    <w:lvl w:ilvl="4" w:tplc="25797944" w:tentative="1">
      <w:start w:val="1"/>
      <w:numFmt w:val="lowerLetter"/>
      <w:lvlText w:val="%5."/>
      <w:lvlJc w:val="left"/>
      <w:pPr>
        <w:ind w:left="3600" w:hanging="360"/>
      </w:pPr>
    </w:lvl>
    <w:lvl w:ilvl="5" w:tplc="25797944" w:tentative="1">
      <w:start w:val="1"/>
      <w:numFmt w:val="lowerRoman"/>
      <w:lvlText w:val="%6."/>
      <w:lvlJc w:val="right"/>
      <w:pPr>
        <w:ind w:left="4320" w:hanging="180"/>
      </w:pPr>
    </w:lvl>
    <w:lvl w:ilvl="6" w:tplc="25797944" w:tentative="1">
      <w:start w:val="1"/>
      <w:numFmt w:val="decimal"/>
      <w:lvlText w:val="%7."/>
      <w:lvlJc w:val="left"/>
      <w:pPr>
        <w:ind w:left="5040" w:hanging="360"/>
      </w:pPr>
    </w:lvl>
    <w:lvl w:ilvl="7" w:tplc="25797944" w:tentative="1">
      <w:start w:val="1"/>
      <w:numFmt w:val="lowerLetter"/>
      <w:lvlText w:val="%8."/>
      <w:lvlJc w:val="left"/>
      <w:pPr>
        <w:ind w:left="5760" w:hanging="360"/>
      </w:pPr>
    </w:lvl>
    <w:lvl w:ilvl="8" w:tplc="25797944" w:tentative="1">
      <w:start w:val="1"/>
      <w:numFmt w:val="lowerRoman"/>
      <w:lvlText w:val="%9."/>
      <w:lvlJc w:val="right"/>
      <w:pPr>
        <w:ind w:left="6480" w:hanging="180"/>
      </w:pPr>
    </w:lvl>
  </w:abstractNum>
  <w:abstractNum w:abstractNumId="97338490">
    <w:multiLevelType w:val="hybridMultilevel"/>
    <w:lvl w:ilvl="0" w:tplc="293848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38490">
    <w:abstractNumId w:val="97338490"/>
  </w:num>
  <w:num w:numId="97338491">
    <w:abstractNumId w:val="97338491"/>
  </w:num>
  <w:num w:numId="103562977">
    <w:abstractNumId w:val="103562977"/>
  </w:num>
  <w:num w:numId="473796415">
    <w:abstractNumId w:val="4737964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44163689" Type="http://schemas.openxmlformats.org/officeDocument/2006/relationships/numbering" Target="numbering.xml"/><Relationship Id="rId19360381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