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7738006" w:name="document"/>
    <w:bookmarkEnd w:id="37738006"/>
    <w:p/>
    <w:p>
      <w:pPr>
        <w:widowControl w:val="on"/>
        <w:pBdr/>
        <w:spacing w:before="0" w:after="280" w:line="240" w:lineRule="auto"/>
        <w:ind w:left="0" w:right="0"/>
        <w:jc w:val="left"/>
      </w:pPr>
      <w:r>
        <w:rPr>
          <w:rFonts w:ascii="Arial" w:hAnsi="Arial" w:eastAsia="Arial" w:cs="Arial"/>
          <w:color w:val="363A40"/>
          <w:sz w:val="24"/>
          <w:szCs w:val="24"/>
        </w:rPr>
        <w:t xml:space="preserve">Dokument-ID: 999707 | Severin Hammer - Sabine
Barbach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Dienstvertrag – Textbaustein Datenschutzklausel</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verpflichtet sich zur Wahrung des
Datengeheimnis gemäß den Bestimmungen der neuen
Datenschutzgrundverordnung DSG VO und gem § 6 DSG idF
BGBl I Nr 120/2017 zu wahren. Der Arbeitnehmer
verpflichtet sich zur Erfüllung des Datenschutzes und der
Datensicherheit.</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verpflichtet sich insbesondere:</w:t>
      </w:r>
    </w:p>
    <w:p>
      <w:pPr>
        <w:numPr>
          <w:ilvl w:val="0"/>
          <w:numId w:val="902731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Personenbezogene Daten, die dem Arbeitnehmer aufgrund seiner
beruflichen Beschäftigung anvertraut oder zugänglich gemacht
wurden, nur aufgrund einer ausdrücklichen Anordnung des jeweiligen
Vorgesetzten zu übermitteln;</w:t>
      </w:r>
    </w:p>
    <w:p>
      <w:pPr>
        <w:numPr>
          <w:ilvl w:val="0"/>
          <w:numId w:val="902731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Daten nicht an unbefugte Empfänger innerhalb und außerhalb des
Unternehmens zu übermitteln oder sonst zugänglich zu machen</w:t>
      </w:r>
    </w:p>
    <w:p>
      <w:pPr>
        <w:numPr>
          <w:ilvl w:val="0"/>
          <w:numId w:val="902731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Sich nicht unbefugt Daten zu beschaffen oder diese unbefugt zu
verarbeiten</w:t>
      </w:r>
    </w:p>
    <w:p>
      <w:pPr>
        <w:numPr>
          <w:ilvl w:val="0"/>
          <w:numId w:val="902731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Personenbezogene Daten nur zum rechtmäßigen Aufgabenvollzug
gehörenden Zweck zu verwenden</w:t>
      </w:r>
    </w:p>
    <w:p>
      <w:pPr>
        <w:numPr>
          <w:ilvl w:val="0"/>
          <w:numId w:val="902731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Anvertraute Benutzerkennwörter, Passwörter und sonstige
Zugangsberechtigungen sorgfältig zu verwahren und geheim zu
halten</w:t>
      </w:r>
    </w:p>
    <w:p>
      <w:pPr>
        <w:numPr>
          <w:ilvl w:val="0"/>
          <w:numId w:val="902731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Geheimhaltung auch nach Beendigung der Tätigkeit des
Arbeitnehmers beim Arbeitgeber (§ 6 DSG fort)</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nimmt zur Kenntnis, dass Verstöße gegen diese
Verschwiegenheitsverpflichtungen ua gem §§ 62 f idF
BGBl I Nr 120/2017, Art 83 DSGVO, verwaltungs- und
strafrechtlich strafbar sind und zusätzlich Schadenersatzpflichten
und arbeitsrechtliche Konsequenzen drohen.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Ergänzung Belehrungsbestätigung</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erlangt in Erfüllung seiner Arbeitspflicht
Kenntnis über personenbezogene Daten im Sinne des
Datenschutzrechtes. Alle diese Informationen sind vom Arbeitnehmer
absolut vertraulich zu behandeln und unterliegen den Bestimmungen
des österreichischen und europäischen Datenschutzrechts.</w:t>
      </w:r>
    </w:p>
    <w:p>
      <w:pPr>
        <w:widowControl w:val="on"/>
        <w:pBdr/>
        <w:spacing w:before="140" w:after="240" w:line="288" w:lineRule="auto"/>
        <w:ind w:left="0" w:right="0"/>
        <w:jc w:val="left"/>
      </w:pPr>
      <w:r>
        <w:rPr>
          <w:rFonts w:ascii="Arial" w:hAnsi="Arial" w:eastAsia="Arial" w:cs="Arial"/>
          <w:color w:val="000000"/>
          <w:sz w:val="20"/>
          <w:szCs w:val="20"/>
        </w:rPr>
        <w:t xml:space="preserve">Gem § 6 DSG idF BGBl I Nr 120/2017 unterliegen
daher zusammenfassend personenbezogene Daten natürlicher und
juristischer Personen dem besonderen Schutz. Die Verwendung solcher
Daten ist nur unter besonderen Voraussetzungen zulässig:</w:t>
      </w:r>
    </w:p>
    <w:p>
      <w:pPr>
        <w:numPr>
          <w:ilvl w:val="0"/>
          <w:numId w:val="490183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Personenbezogene Daten, die einem Arbeitnehmer aufgrund seiner
beruflichen Beschäftigung anvertraut oder zugänglich gemacht
wurden, dürfen nur aufgrund einer ausdrücklichen Anordnung des
jeweiligen Vorgesetzten übermittelt werden.</w:t>
      </w:r>
    </w:p>
    <w:p>
      <w:pPr>
        <w:numPr>
          <w:ilvl w:val="0"/>
          <w:numId w:val="490183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Einem Arbeitnehmer ist es verboten, Daten an unbefugte
Empfänger innerhalb und außerhalb des Unternehmens zu übermitteln
oder sonst zugänglich zu machen.</w:t>
      </w:r>
    </w:p>
    <w:p>
      <w:pPr>
        <w:numPr>
          <w:ilvl w:val="0"/>
          <w:numId w:val="490183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Arbeitnehmer darf sich nicht unbefugt Daten beschaffen oder
diese unbefugt verarbeiten.</w:t>
      </w:r>
    </w:p>
    <w:p>
      <w:pPr>
        <w:numPr>
          <w:ilvl w:val="0"/>
          <w:numId w:val="490183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Arbeitnehmer darf personenbezogene Daten nicht zu einem
anderen als dem zum rechtmäßigen Aufgabenvollzug gehörenden Zweck
verwenden.</w:t>
      </w:r>
    </w:p>
    <w:p>
      <w:pPr>
        <w:numPr>
          <w:ilvl w:val="0"/>
          <w:numId w:val="490183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Arbeitnehmer anvertraute Benutzerkennwörter, Passwörter und
sonstige Zugangsberechtigungen hat dieser sorgfältig zu verwahren
und geheim zu halten.</w:t>
      </w:r>
    </w:p>
    <w:p>
      <w:pPr>
        <w:numPr>
          <w:ilvl w:val="0"/>
          <w:numId w:val="490183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Geheimhaltungsverpflichtung besteht gem § 6 DSG
auch nach Beendigung der Tätigkeit des Arbeitnehmers fort.</w:t>
      </w:r>
    </w:p>
    <w:p>
      <w:pPr>
        <w:numPr>
          <w:ilvl w:val="0"/>
          <w:numId w:val="490183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Verstöße gegen diese Verschwiegenheitsverpflichtungen sind ua
gem §§ 62f idF BGBl I Nr 120/2017, Art 83
DSGVO, verwaltungs- und strafrechtlich strafbar; zusätzlich drohen
Schadenersatzpflichten und arbeitsrechtliche Konsequenzen.</w:t>
      </w:r>
    </w:p>
    <w:p>
      <w:pPr>
        <w:widowControl w:val="on"/>
        <w:pBdr/>
        <w:spacing w:before="140" w:after="240" w:line="288" w:lineRule="auto"/>
        <w:ind w:left="0" w:right="0"/>
        <w:jc w:val="left"/>
      </w:pPr>
      <w:r>
        <w:rPr>
          <w:rFonts w:ascii="Arial" w:hAnsi="Arial" w:eastAsia="Arial" w:cs="Arial"/>
          <w:color w:val="000000"/>
          <w:sz w:val="20"/>
          <w:szCs w:val="20"/>
        </w:rPr>
        <w:t xml:space="preserve">Art 4 DSGVO enthält Begriffsdefinitionen. Ein Ausdruck
dieser Bestimmung findet sich in dieser Belehrung als Beilage ./1
angeschlossen und stellt einen integrierenden Bestandteil dieser
Belehrung dar. Weitere Beilagen, die einen integrierenden
Bestandteil der Belehrung darstellen, sind: ein Ausdruck des
§ 62 DSG als Beilage ./2 und ein Ausdruck des § 63 DSG
als Beilage ./3.</w:t>
      </w:r>
    </w:p>
    <w:p>
      <w:pPr>
        <w:widowControl w:val="on"/>
        <w:pBdr/>
        <w:spacing w:before="140" w:after="240" w:line="288" w:lineRule="auto"/>
        <w:ind w:left="0" w:right="0"/>
        <w:jc w:val="left"/>
      </w:pPr>
      <w:r>
        <w:rPr>
          <w:rFonts w:ascii="Arial" w:hAnsi="Arial" w:eastAsia="Arial" w:cs="Arial"/>
          <w:color w:val="000000"/>
          <w:sz w:val="20"/>
          <w:szCs w:val="20"/>
        </w:rPr>
        <w:t xml:space="preserve">Mit der Unterschrift des Arbeitnehmers bestätigt dieser den
Erhalt der Belehrung samt Beilagen und verpflichtet sich
ausdrücklich das Datenschutzrecht zu wahren und bei einem Verstoß
gegen das Datengeheimnis eine Konventionalstrafe in Höhe von
EUR … [Betrag einfügen] zu leisten.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Aufgrund des Datenschutzrechtes trifft Unternehmen eine
ausdrückliche gesetzliche Pflicht, Arbeitnehmer zu einem
sorgfältigen Umgang mit Daten zu verpflichten. Arbeitgeber haben
ihre Mitarbeiter vertraglich zu verpflichten, Datenanwendungen, die
ihnen ausschließlich aufgrund ihrer berufsmäßigen Beschäftigung
anvertraut wurden oder zugänglich gemacht worden sind, nur auf
Anordnung des Arbeitgebers zu übermitteln und Datenanwendungen auch
nach Ende des Arbeitsverhältnisses geheim zu halten.</w:t>
      </w:r>
    </w:p>
    <w:p>
      <w:pPr>
        <w:widowControl w:val="on"/>
        <w:pBdr/>
        <w:spacing w:before="140" w:after="240" w:line="288" w:lineRule="auto"/>
        <w:ind w:left="0" w:right="0"/>
        <w:jc w:val="left"/>
      </w:pPr>
      <w:r>
        <w:rPr>
          <w:rFonts w:ascii="Arial" w:hAnsi="Arial" w:eastAsia="Arial" w:cs="Arial"/>
          <w:color w:val="000000"/>
          <w:sz w:val="20"/>
          <w:szCs w:val="20"/>
        </w:rPr>
        <w:t xml:space="preserve">Seit 25.05.2018 gilt das neue verschärfte Datenschutzrecht.</w:t>
      </w:r>
    </w:p>
    <w:p>
      <w:pPr>
        <w:widowControl w:val="on"/>
        <w:pBdr/>
        <w:spacing w:before="140" w:after="240" w:line="288" w:lineRule="auto"/>
        <w:ind w:left="0" w:right="0"/>
        <w:jc w:val="left"/>
      </w:pPr>
      <w:r>
        <w:rPr>
          <w:rFonts w:ascii="Arial" w:hAnsi="Arial" w:eastAsia="Arial" w:cs="Arial"/>
          <w:color w:val="000000"/>
          <w:sz w:val="20"/>
          <w:szCs w:val="20"/>
        </w:rPr>
        <w:t xml:space="preserve">Gem § 6 DSG idF BGBl I Nr 120/2017 haben der
Verantwortliche, der Auftragsverarbeiter und ihre Mitarbeiter – das
sind Arbeitnehmer (Dienstnehmer) und Personen in einem
arbeitnehmerähnlichen (dienstnehmerähnlichen) Verhältnis –
personenbezogene Daten aus Datenverarbeitungen, die ihnen
ausschließlich aufgrund ihrer berufsmäßigen Beschäftigung
anvertraut wurden oder zugänglich geworden sind, unbeschadet
sonstiger gesetzlicher Verschwiegenheitspflichten, geheim zu
halten, soweit kein rechtlich zulässiger Grund für eine
Übermittlung der anvertrauten oder zugänglich gewordenen
personenbezogenen Daten besteht.</w:t>
      </w:r>
    </w:p>
    <w:p>
      <w:pPr>
        <w:widowControl w:val="on"/>
        <w:pBdr/>
        <w:spacing w:before="140" w:after="240" w:line="288" w:lineRule="auto"/>
        <w:ind w:left="0" w:right="0"/>
        <w:jc w:val="left"/>
      </w:pPr>
      <w:r>
        <w:rPr>
          <w:rFonts w:ascii="Arial" w:hAnsi="Arial" w:eastAsia="Arial" w:cs="Arial"/>
          <w:color w:val="000000"/>
          <w:sz w:val="20"/>
          <w:szCs w:val="20"/>
        </w:rPr>
        <w:t xml:space="preserve">Mitarbeiter dürfen personenbezogene Daten nur aufgrund einer
ausdrücklichen Anordnung ihres Arbeitgebers übermitteln. Der
Verantwortliche und der Auftragsverarbeiter haben, sofern eine
solche Verpflichtung ihrer Mitarbeiter nicht schon kraft Gesetzes
besteht, diese vertraglich zu verpflichten, personenbezogene Daten
aus Datenverarbeitungen nur aufgrund von Anordnungen zu übermitteln
und das Datengeheimnis auch nach Beendigung des
Arbeitsverhältnisses zum Verantwortlichen oder Auftragsverarbeiter
einzuhalten.</w:t>
      </w:r>
    </w:p>
    <w:p>
      <w:pPr>
        <w:widowControl w:val="on"/>
        <w:pBdr/>
        <w:spacing w:before="140" w:after="240" w:line="288" w:lineRule="auto"/>
        <w:ind w:left="0" w:right="0"/>
        <w:jc w:val="left"/>
      </w:pPr>
      <w:r>
        <w:rPr>
          <w:rFonts w:ascii="Arial" w:hAnsi="Arial" w:eastAsia="Arial" w:cs="Arial"/>
          <w:color w:val="000000"/>
          <w:sz w:val="20"/>
          <w:szCs w:val="20"/>
        </w:rPr>
        <w:t xml:space="preserve">Der Verantwortliche und der Auftragsverarbeiter haben die von
der Anordnung betroffenen Mitarbeiter über die für sie geltenden
Übermittlungsanordnungen und über die Folgen einer Verletzung des
Datengeheimnisses zu belehren.</w:t>
      </w:r>
    </w:p>
    <w:p>
      <w:pPr>
        <w:widowControl w:val="on"/>
        <w:pBdr/>
        <w:spacing w:before="140" w:after="240" w:line="288" w:lineRule="auto"/>
        <w:ind w:left="0" w:right="0"/>
        <w:jc w:val="left"/>
      </w:pPr>
      <w:r>
        <w:rPr>
          <w:rFonts w:ascii="Arial" w:hAnsi="Arial" w:eastAsia="Arial" w:cs="Arial"/>
          <w:color w:val="000000"/>
          <w:sz w:val="20"/>
          <w:szCs w:val="20"/>
        </w:rPr>
        <w:t xml:space="preserve">Unbeschadet des Weisungsrechts darf einem Mitarbeiter aus der
Verweigerung der Befolgung einer Anordnung zur unzulässigen
Datenübermittlung kein Nachteil erwachsen.</w:t>
      </w:r>
    </w:p>
    <w:p>
      <w:pPr>
        <w:widowControl w:val="on"/>
        <w:pBdr/>
        <w:spacing w:before="140" w:after="240" w:line="288" w:lineRule="auto"/>
        <w:ind w:left="0" w:right="0"/>
        <w:jc w:val="left"/>
      </w:pPr>
      <w:r>
        <w:rPr>
          <w:rFonts w:ascii="Arial" w:hAnsi="Arial" w:eastAsia="Arial" w:cs="Arial"/>
          <w:color w:val="000000"/>
          <w:sz w:val="20"/>
          <w:szCs w:val="20"/>
        </w:rPr>
        <w:t xml:space="preserve">Ein zugunsten eines Verantwortlichen bestehendes gesetzliches
Aussageverweigerungsrecht darf nicht durch die Inanspruchnahme
eines für diesen tätigen Auftragsverarbeiters, insbesondere nicht
durch die Sicherstellung oder Beschlagnahme von
automationsunterstützt verarbeiteten Dokumenten, umgangen
werden.</w:t>
      </w:r>
    </w:p>
    <w:p>
      <w:pPr>
        <w:widowControl w:val="on"/>
        <w:pBdr/>
        <w:spacing w:before="140" w:after="240" w:line="288" w:lineRule="auto"/>
        <w:ind w:left="0" w:right="0"/>
        <w:jc w:val="left"/>
      </w:pPr>
      <w:r>
        <w:rPr>
          <w:rFonts w:ascii="Arial" w:hAnsi="Arial" w:eastAsia="Arial" w:cs="Arial"/>
          <w:color w:val="000000"/>
          <w:sz w:val="20"/>
          <w:szCs w:val="20"/>
        </w:rPr>
        <w:t xml:space="preserve">Art 4 DSGVO enthält umfassende Begriffsbestimmungen: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„Personenbezogene Daten“</w:t>
      </w:r>
      <w:r>
        <w:rPr>
          <w:rFonts w:ascii="Arial" w:hAnsi="Arial" w:eastAsia="Arial" w:cs="Arial"/>
          <w:color w:val="000000"/>
          <w:sz w:val="20"/>
          <w:szCs w:val="20"/>
        </w:rPr>
        <w:t xml:space="preserve"> alle Informationen,
die sich auf eine identifizierte oder identifizierbare natürliche
Person (im Folgenden „betroffene Person“) beziehen; als
identifizierbar wird eine natürliche Person angesehen, die direkt
oder indirekt, insbesondere mittels Zuordnung zu einer Kennung wie
einem Namen, zu einer Kennnummer, zu Standortdaten, zu einer
Online-Kennung oder zu einem oder mehreren besonderen Merkmalen,
die Ausdruck der physischen, physiologischen, genetischen,
psychischen, wirtschaftlichen, kulturellen oder sozialen Identität
dieser natürlichen Person sind, identifiziert werden kann;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„Verarbeitung“</w:t>
      </w:r>
      <w:r>
        <w:rPr>
          <w:rFonts w:ascii="Arial" w:hAnsi="Arial" w:eastAsia="Arial" w:cs="Arial"/>
          <w:color w:val="000000"/>
          <w:sz w:val="20"/>
          <w:szCs w:val="20"/>
        </w:rPr>
        <w:t xml:space="preserve"> jeden mit oder ohne Hilfe
automatisierter Verfahren ausgeführten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den Abgleich
oder die Verknüpfung, die Einschränkung, das Löschen oder die
Vernichtung;</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„Einschränkung der Verarbeitung“</w:t>
      </w:r>
      <w:r>
        <w:rPr>
          <w:rFonts w:ascii="Arial" w:hAnsi="Arial" w:eastAsia="Arial" w:cs="Arial"/>
          <w:color w:val="000000"/>
          <w:sz w:val="20"/>
          <w:szCs w:val="20"/>
        </w:rPr>
        <w:t xml:space="preserve"> die
Markierung gespeicherter personenbezogener Daten mit dem Ziel, ihre
künftige Verarbeitung einzuschränken;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„Profiling“</w:t>
      </w:r>
      <w:r>
        <w:rPr>
          <w:rFonts w:ascii="Arial" w:hAnsi="Arial" w:eastAsia="Arial" w:cs="Arial"/>
          <w:color w:val="000000"/>
          <w:sz w:val="20"/>
          <w:szCs w:val="20"/>
        </w:rPr>
        <w:t xml:space="preserve"> jede Art der automatisierten
Verarbeitung personenbezogener Daten, die darin besteht, dass diese
personenbezogenen Daten verwendet werden, um bestimmte persönliche
Aspekte, die sich auf eine natürliche Person beziehen, zu bewerten,
insbesondere, um Aspekte bezüglich Arbeitsleistung, wirtschaftliche
Lage, Gesundheit, persönliche Vorlieben, Interessen,
Zuverlässigkeit, Verhalten, Aufenthaltsort oder Ortswechsel dieser
natürlichen Person zu analysieren oder vorherzusagen;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„Pseudonymisierung“</w:t>
      </w:r>
      <w:r>
        <w:rPr>
          <w:rFonts w:ascii="Arial" w:hAnsi="Arial" w:eastAsia="Arial" w:cs="Arial"/>
          <w:color w:val="000000"/>
          <w:sz w:val="20"/>
          <w:szCs w:val="20"/>
        </w:rPr>
        <w:t xml:space="preserve"> die Verarbeitung
personenbezogener Daten in einer Weise, dass die personenbezogenen
Daten ohne Hinzuziehung zusätzlicher Informationen nicht mehr einer
spezifischen betroffenen Person zugeordnet werden können, sofern
diese zusätzlichen Informationen gesondert aufbewahrt werden und
technischen und organisatorischen Maßnahmen unterliegen, die
gewährleisten, dass die personenbezogenen Daten nicht einer
identifizierten oder identifizierbaren natürlichen Person
zugewiesen werden;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„Dateisystem“</w:t>
      </w:r>
      <w:r>
        <w:rPr>
          <w:rFonts w:ascii="Arial" w:hAnsi="Arial" w:eastAsia="Arial" w:cs="Arial"/>
          <w:color w:val="000000"/>
          <w:sz w:val="20"/>
          <w:szCs w:val="20"/>
        </w:rPr>
        <w:t xml:space="preserve"> jede strukturierte Sammlung
personenbezogener Daten, die nach bestimmten Kriterien zugänglich
sind, unabhängig davon, ob diese Sammlung zentral, dezentral oder
nach funktionalen oder geografischen Gesichtspunkten geordnet
geführt wird;</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„Verantwortlicher“</w:t>
      </w:r>
      <w:r>
        <w:rPr>
          <w:rFonts w:ascii="Arial" w:hAnsi="Arial" w:eastAsia="Arial" w:cs="Arial"/>
          <w:color w:val="000000"/>
          <w:sz w:val="20"/>
          <w:szCs w:val="20"/>
        </w:rPr>
        <w:t xml:space="preserve"> die natürliche oder
juristische Person, Behörde, Einrichtung oder andere Stelle, die
allein oder gemeinsam mit anderen über die Zwecke und Mittel der
Verarbeitung von personenbezogenen Daten entscheidet; sind die
Zwecke und Mittel dieser Verarbeitung durch das Unionsrecht oder
das Recht der Mitgliedstaaten vorgegeben, so kann der
Verantwortliche beziehungsweise können die bestimmten Kriterien
seiner Benennung nach dem Unionsrecht oder dem Recht der
Mitgliedstaaten vorgesehen werden;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„Auftragsverarbeiter“</w:t>
      </w:r>
      <w:r>
        <w:rPr>
          <w:rFonts w:ascii="Arial" w:hAnsi="Arial" w:eastAsia="Arial" w:cs="Arial"/>
          <w:color w:val="000000"/>
          <w:sz w:val="20"/>
          <w:szCs w:val="20"/>
        </w:rPr>
        <w:t xml:space="preserve"> eine natürliche oder
juristische Person, Behörde, Einrichtung oder andere Stelle, die
personenbezogene Daten im Auftrag des Verantwortlichen
verarbeitet;</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„Empfänger“</w:t>
      </w:r>
      <w:r>
        <w:rPr>
          <w:rFonts w:ascii="Arial" w:hAnsi="Arial" w:eastAsia="Arial" w:cs="Arial"/>
          <w:color w:val="000000"/>
          <w:sz w:val="20"/>
          <w:szCs w:val="20"/>
        </w:rPr>
        <w:t xml:space="preserve"> eine natürliche oder juristische
Person, Behörde, Einrichtung oder andere Stelle, der
personenbezogene Daten offengelegt werden, unabhängig davon, ob es
sich bei ihr um einen Dritten handelt oder nicht. Behörden, die im
Rahmen eines bestimmten Untersuchungsauftrags nach dem Unionsrecht
oder dem Recht der Mitgliedstaaten 4.5.2016 L 119/33 Amtsblatt der
Europäischen Union DE möglicherweise personenbezogene Daten
erhalten, gelten jedoch nicht als Empfänger; die Verarbeitung
dieser Daten durch die genannten Behörden erfolgt im Einklang mit
den geltenden Datenschutzvorschriften gemäß den Zwecken der
Verarbeitung;</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„Dritter“</w:t>
      </w:r>
      <w:r>
        <w:rPr>
          <w:rFonts w:ascii="Arial" w:hAnsi="Arial" w:eastAsia="Arial" w:cs="Arial"/>
          <w:color w:val="000000"/>
          <w:sz w:val="20"/>
          <w:szCs w:val="20"/>
        </w:rPr>
        <w:t xml:space="preserve"> eine natürliche oder juristische
Person, Behörde, Einrichtung oder andere Stelle, außer der
betroffenen Person, dem Verantwortlichen, dem Auftragsverarbeiter
und den Personen, die unter der unmittelbaren Verantwortung des
Verantwortlichen oder des Auftragsverarbeiters befugt sind, die
personenbezogenen Daten zu verarbeiten;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„Einwilligung“</w:t>
      </w:r>
      <w:r>
        <w:rPr>
          <w:rFonts w:ascii="Arial" w:hAnsi="Arial" w:eastAsia="Arial" w:cs="Arial"/>
          <w:color w:val="000000"/>
          <w:sz w:val="20"/>
          <w:szCs w:val="20"/>
        </w:rPr>
        <w:t xml:space="preserve"> der betroffenen Person jede
freiwillig für den bestimmten Fall, in informierter Weise und
unmissverständlich abgegebene Willensbekundung in Form einer
Erklärung oder einer sonstigen eindeutigen bestätigenden Handlung,
mit der die betroffene Person zu verstehen gibt, dass sie mit der
Verarbeitung der sie betreffenden personenbezogenen Daten
einverstanden ist;</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„Verletzung des Schutzes personenbezogener
Daten“</w:t>
      </w:r>
      <w:r>
        <w:rPr>
          <w:rFonts w:ascii="Arial" w:hAnsi="Arial" w:eastAsia="Arial" w:cs="Arial"/>
          <w:color w:val="000000"/>
          <w:sz w:val="20"/>
          <w:szCs w:val="20"/>
        </w:rPr>
        <w:t xml:space="preserve"> eine Verletzung der Sicherheit, die, ob
unbeabsichtigt oder unrechtmäßig, zur Vernichtung, zum Verlust, zur
Veränderung, oder zur unbefugten Offenlegung von beziehungsweise
zum unbefugten Zugang zu personenbezogenen Daten führt, die
übermittelt, gespeichert oder auf sonstige Weise verarbeitet
wurden;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„Genetische Daten“</w:t>
      </w:r>
      <w:r>
        <w:rPr>
          <w:rFonts w:ascii="Arial" w:hAnsi="Arial" w:eastAsia="Arial" w:cs="Arial"/>
          <w:color w:val="000000"/>
          <w:sz w:val="20"/>
          <w:szCs w:val="20"/>
        </w:rPr>
        <w:t xml:space="preserve"> personenbezogene Daten zu
den ererbten oder erworbenen genetischen Eigenschaften einer
natürlichen Person, die eindeutige Informationen über die
Physiologie oder die Gesundheit dieser natürlichen Person liefern
und insbesondere aus der Analyse einer biologischen Probe der
betreffenden natürlichen Person gewonnen wurden;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„Biometrische Daten“</w:t>
      </w:r>
      <w:r>
        <w:rPr>
          <w:rFonts w:ascii="Arial" w:hAnsi="Arial" w:eastAsia="Arial" w:cs="Arial"/>
          <w:color w:val="000000"/>
          <w:sz w:val="20"/>
          <w:szCs w:val="20"/>
        </w:rPr>
        <w:t xml:space="preserve"> mit speziellen
technischen Verfahren gewonnene personenbezogene Daten zu den
physischen, physiologischen oder verhaltenstypischen Merkmalen
einer natürlichen Person, die die eindeutige Identifizierung dieser
natürlichen Person ermöglichen oder bestätigen, wie Gesichtsbilder
oder daktyloskopische Daten;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„Gesundheitsdaten“</w:t>
      </w:r>
      <w:r>
        <w:rPr>
          <w:rFonts w:ascii="Arial" w:hAnsi="Arial" w:eastAsia="Arial" w:cs="Arial"/>
          <w:color w:val="000000"/>
          <w:sz w:val="20"/>
          <w:szCs w:val="20"/>
        </w:rPr>
        <w:t xml:space="preserve"> personenbezogene Daten, die
sich auf die körperliche oder geistige Gesundheit einer natürlichen
Person, einschließlich der Erbringung von
Gesundheitsdienstleistungen, beziehen und aus denen Informationen
über deren Gesundheitszustand hervorgehen;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„Hauptniederlassung“</w:t>
      </w:r>
      <w:r>
        <w:rPr>
          <w:rFonts w:ascii="Arial" w:hAnsi="Arial" w:eastAsia="Arial" w:cs="Arial"/>
          <w:color w:val="000000"/>
          <w:sz w:val="20"/>
          <w:szCs w:val="20"/>
        </w:rPr>
        <w:t xml:space="preserve"> a) im Falle eines
Verantwortlichen mit Niederlassungen in mehr als einem
Mitgliedstaat den Ort seiner Hauptverwaltung in der Union, es sei
denn, die Entscheidungen hinsichtlich der Zwecke und Mittel der
Verarbeitung personenbezogener Daten werden in einer anderen
Niederlassung des Verantwortlichen in der Union getroffen und diese
Niederlassung ist befugt, diese Entscheidungen umsetzen zu lassen;
in diesem Fall gilt die Niederlassung, die derartige Entscheidungen
trifft, als Hauptniederlassung; b) im Falle eines
Auftragsverarbeiters mit Niederlassungen in mehr als einem
Mitgliedstaat den Ort seiner Hauptverwaltung in der Union oder,
sofern der Auftragsverarbeiter keine Hauptverwaltung in der Union
hat, die Niederlassung des Auftragsverarbeiters in der Union, in
der die Verarbeitungstätigkeiten im Rahmen der Tätigkeiten einer
Niederlassung eines Auftragsverarbeiters hauptsächlich stattfinden,
soweit der Auftragsverarbeiter spezifischen Pflichten aus dieser
Verordnung unterliegt;</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„Vertreter“</w:t>
      </w:r>
      <w:r>
        <w:rPr>
          <w:rFonts w:ascii="Arial" w:hAnsi="Arial" w:eastAsia="Arial" w:cs="Arial"/>
          <w:color w:val="000000"/>
          <w:sz w:val="20"/>
          <w:szCs w:val="20"/>
        </w:rPr>
        <w:t xml:space="preserve"> eine in der Union niedergelassene
natürliche oder juristische Person, die von dem Verantwortlichen
oder Auftragsverarbeiter schriftlich gem Art 27 bestellt
wurde und den Verantwortlichen oder Auftragsverarbeiter in Bezug
auf die ihnen jeweils nach dieser Verordnung obliegenden Pflichten
vertritt;</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„Unternehmen“</w:t>
      </w:r>
      <w:r>
        <w:rPr>
          <w:rFonts w:ascii="Arial" w:hAnsi="Arial" w:eastAsia="Arial" w:cs="Arial"/>
          <w:color w:val="000000"/>
          <w:sz w:val="20"/>
          <w:szCs w:val="20"/>
        </w:rPr>
        <w:t xml:space="preserve"> eine natürliche und juristische
Person, die eine wirtschaftliche Tätigkeit ausübt, unabhängig von
ihrer Rechtsform, einschließlich Personengesellschaften oder
Vereinigungen, die regelmäßig einer wirtschaftlichen Tätigkeit
nachgehen;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„Unternehmensgruppe“</w:t>
      </w:r>
      <w:r>
        <w:rPr>
          <w:rFonts w:ascii="Arial" w:hAnsi="Arial" w:eastAsia="Arial" w:cs="Arial"/>
          <w:color w:val="000000"/>
          <w:sz w:val="20"/>
          <w:szCs w:val="20"/>
        </w:rPr>
        <w:t xml:space="preserve"> eine Gruppe, die aus
einem herrschenden Unternehmen und den von diesem abhängigen
Unternehmen besteht;</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„Verbindliche interne Datenschutzvorschriften“</w:t>
      </w:r>
      <w:r>
        <w:rPr>
          <w:rFonts w:ascii="Arial" w:hAnsi="Arial" w:eastAsia="Arial" w:cs="Arial"/>
          <w:color w:val="000000"/>
          <w:sz w:val="20"/>
          <w:szCs w:val="20"/>
        </w:rPr>
        <w:t xml:space="preserve">
Maßnahmen zum Schutz personenbezogener Daten, zu deren Einhaltung
sich ein im Hoheitsgebiet eines Mitgliedstaats niedergelassener
Verantwortlicher oder Auftragsverarbeiter verpflichtet im Hinblick
auf Datenübermittlungen oder eine Kategorie von Datenübermittlungen
personenbezogener Daten an einen Verantwortlichen oder
Auftragsverarbeiter derselben Unternehmensgruppe oder derselben
Gruppe von Unternehmen, die eine gemeinsame Wirtschaftstätigkeit
ausüben, in einem oder mehreren Drittländern;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„Aufsichtsbehörde“</w:t>
      </w:r>
      <w:r>
        <w:rPr>
          <w:rFonts w:ascii="Arial" w:hAnsi="Arial" w:eastAsia="Arial" w:cs="Arial"/>
          <w:color w:val="000000"/>
          <w:sz w:val="20"/>
          <w:szCs w:val="20"/>
        </w:rPr>
        <w:t xml:space="preserve"> eine von einem
Mitgliedstaat gem Art 51 eingerichtete unabhängige
staatliche Stelle; 4.5.2016 L 119/34 Amtsblatt der Europäischen
Union DE</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„Betroffene Aufsichtsbehörde“</w:t>
      </w:r>
      <w:r>
        <w:rPr>
          <w:rFonts w:ascii="Arial" w:hAnsi="Arial" w:eastAsia="Arial" w:cs="Arial"/>
          <w:color w:val="000000"/>
          <w:sz w:val="20"/>
          <w:szCs w:val="20"/>
        </w:rPr>
        <w:t xml:space="preserve"> eine
Aufsichtsbehörde, die von der Verarbeitung personenbezogener Daten
betroffen ist, weil a) der Verantwortliche oder der
Auftragsverarbeiter im Hoheitsgebiet des Mitgliedstaats dieser
Aufsichtsbehörde niedergelassen ist, b) diese Verarbeitung
erhebliche Auswirkungen auf betroffene Personen mit Wohnsitz im
Mitgliedstaat dieser Aufsichtsbehörde hat oder haben kann oder c)
eine Beschwerde bei dieser Aufsichtsbehörde eingereicht wurde;</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„Grenzüberschreitende Verarbeitung“</w:t>
      </w:r>
      <w:r>
        <w:rPr>
          <w:rFonts w:ascii="Arial" w:hAnsi="Arial" w:eastAsia="Arial" w:cs="Arial"/>
          <w:color w:val="000000"/>
          <w:sz w:val="20"/>
          <w:szCs w:val="20"/>
        </w:rPr>
        <w:t xml:space="preserve"> entweder
a) eine Verarbeitung personenbezogener Daten, die im Rahmen der
Tätigkeiten von Niederlassungen eines Verantwortlichen oder eines
Auftragsverarbeiters in der Union in mehr als einem Mitgliedstaat
erfolgt, wenn der Verantwortliche oder Auftragsverarbeiter in mehr
als einem Mitgliedstaat niedergelassen ist, oder b) eine
Verarbeitung personenbezogener Daten, die im Rahmen der Tätigkeiten
einer einzelnen Niederlassung eines Verantwortlichen oder eines
Auftragsverarbeiters in der Union erfolgt, die jedoch erhebliche
Auswirkungen auf betroffene Personen in mehr als einem
Mitgliedstaat hat oder haben kann;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„Maßgeblicher und begründeter Einspruch“</w:t>
      </w:r>
      <w:r>
        <w:rPr>
          <w:rFonts w:ascii="Arial" w:hAnsi="Arial" w:eastAsia="Arial" w:cs="Arial"/>
          <w:color w:val="000000"/>
          <w:sz w:val="20"/>
          <w:szCs w:val="20"/>
        </w:rPr>
        <w:t xml:space="preserve"> einen
Einspruch gegen einen Beschlussentwurf im Hinblick darauf, ob ein
Verstoß gegen diese Verordnung vorliegt oder ob beabsichtigte
Maßnahmen gegen den Verantwortlichen oder den Auftragsverarbeiter
im Einklang mit dieser Verordnung stehen, wobei aus diesem
Einspruch die Tragweite der Risiken klar hervorgeht, die von dem
Beschlussentwurf in Bezug auf die Grundrechte und Grundfreiheiten
der betroffenen Personen und gegebenenfalls den freien Verkehr
personenbezogener Daten in der Union ausgehen;</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„Dienst der Informationsgesellschaft“</w:t>
      </w:r>
      <w:r>
        <w:rPr>
          <w:rFonts w:ascii="Arial" w:hAnsi="Arial" w:eastAsia="Arial" w:cs="Arial"/>
          <w:color w:val="000000"/>
          <w:sz w:val="20"/>
          <w:szCs w:val="20"/>
        </w:rPr>
        <w:t xml:space="preserve"> eine
Dienstleistung iSd Artikels 1 Nummer 1 Buchstabe b der Richtlinie
(EU) 2015/1535 des Europäischen Parlaments und des Rates (1);</w:t>
      </w:r>
    </w:p>
    <w:p>
      <w:pPr>
        <w:numPr>
          <w:ilvl w:val="0"/>
          <w:numId w:val="829798317"/>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„Internationale Organisation“</w:t>
      </w:r>
      <w:r>
        <w:rPr>
          <w:rFonts w:ascii="Arial" w:hAnsi="Arial" w:eastAsia="Arial" w:cs="Arial"/>
          <w:color w:val="000000"/>
          <w:sz w:val="20"/>
          <w:szCs w:val="20"/>
        </w:rPr>
        <w:t xml:space="preserve"> eine
völkerrechtliche Organisation und ihre nachgeordneten Stellen oder
jede sonstige Einrichtung, die durch eine zwischen zwei oder mehr
Ländern geschlossene Übereinkunft oder auf der Grundlage einer
solchen Übereinkunft geschaffen wurde.</w:t>
      </w:r>
    </w:p>
    <w:p>
      <w:pPr>
        <w:widowControl w:val="on"/>
        <w:pBdr/>
        <w:spacing w:before="140" w:after="240" w:line="288" w:lineRule="auto"/>
        <w:ind w:left="0" w:right="0"/>
        <w:jc w:val="left"/>
      </w:pPr>
      <w:r>
        <w:rPr>
          <w:rFonts w:ascii="Arial" w:hAnsi="Arial" w:eastAsia="Arial" w:cs="Arial"/>
          <w:color w:val="000000"/>
          <w:sz w:val="20"/>
          <w:szCs w:val="20"/>
        </w:rPr>
        <w:t xml:space="preserve">Aufgrund möglicher hoher Strafen im neuen Datenschutzrecht
empfiehlt es sich, jedenfalls die Belehrung des Arbeitnehmers zu
Beweiszwecken auch schriftlich von diesem bestätigen zu lassen.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79831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9018368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0273163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098269">
    <w:multiLevelType w:val="hybridMultilevel"/>
    <w:lvl w:ilvl="0" w:tplc="34635150">
      <w:start w:val="1"/>
      <w:numFmt w:val="decimal"/>
      <w:lvlText w:val="%1."/>
      <w:lvlJc w:val="left"/>
      <w:pPr>
        <w:ind w:left="720" w:hanging="360"/>
      </w:pPr>
    </w:lvl>
    <w:lvl w:ilvl="1" w:tplc="34635150" w:tentative="1">
      <w:start w:val="1"/>
      <w:numFmt w:val="lowerLetter"/>
      <w:lvlText w:val="%2."/>
      <w:lvlJc w:val="left"/>
      <w:pPr>
        <w:ind w:left="1440" w:hanging="360"/>
      </w:pPr>
    </w:lvl>
    <w:lvl w:ilvl="2" w:tplc="34635150" w:tentative="1">
      <w:start w:val="1"/>
      <w:numFmt w:val="lowerRoman"/>
      <w:lvlText w:val="%3."/>
      <w:lvlJc w:val="right"/>
      <w:pPr>
        <w:ind w:left="2160" w:hanging="180"/>
      </w:pPr>
    </w:lvl>
    <w:lvl w:ilvl="3" w:tplc="34635150" w:tentative="1">
      <w:start w:val="1"/>
      <w:numFmt w:val="decimal"/>
      <w:lvlText w:val="%4."/>
      <w:lvlJc w:val="left"/>
      <w:pPr>
        <w:ind w:left="2880" w:hanging="360"/>
      </w:pPr>
    </w:lvl>
    <w:lvl w:ilvl="4" w:tplc="34635150" w:tentative="1">
      <w:start w:val="1"/>
      <w:numFmt w:val="lowerLetter"/>
      <w:lvlText w:val="%5."/>
      <w:lvlJc w:val="left"/>
      <w:pPr>
        <w:ind w:left="3600" w:hanging="360"/>
      </w:pPr>
    </w:lvl>
    <w:lvl w:ilvl="5" w:tplc="34635150" w:tentative="1">
      <w:start w:val="1"/>
      <w:numFmt w:val="lowerRoman"/>
      <w:lvlText w:val="%6."/>
      <w:lvlJc w:val="right"/>
      <w:pPr>
        <w:ind w:left="4320" w:hanging="180"/>
      </w:pPr>
    </w:lvl>
    <w:lvl w:ilvl="6" w:tplc="34635150" w:tentative="1">
      <w:start w:val="1"/>
      <w:numFmt w:val="decimal"/>
      <w:lvlText w:val="%7."/>
      <w:lvlJc w:val="left"/>
      <w:pPr>
        <w:ind w:left="5040" w:hanging="360"/>
      </w:pPr>
    </w:lvl>
    <w:lvl w:ilvl="7" w:tplc="34635150" w:tentative="1">
      <w:start w:val="1"/>
      <w:numFmt w:val="lowerLetter"/>
      <w:lvlText w:val="%8."/>
      <w:lvlJc w:val="left"/>
      <w:pPr>
        <w:ind w:left="5760" w:hanging="360"/>
      </w:pPr>
    </w:lvl>
    <w:lvl w:ilvl="8" w:tplc="34635150" w:tentative="1">
      <w:start w:val="1"/>
      <w:numFmt w:val="lowerRoman"/>
      <w:lvlText w:val="%9."/>
      <w:lvlJc w:val="right"/>
      <w:pPr>
        <w:ind w:left="6480" w:hanging="180"/>
      </w:pPr>
    </w:lvl>
  </w:abstractNum>
  <w:abstractNum w:abstractNumId="11486844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177363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098268">
    <w:multiLevelType w:val="hybridMultilevel"/>
    <w:lvl w:ilvl="0" w:tplc="22496147">
      <w:start w:val="1"/>
      <w:numFmt w:val="decimal"/>
      <w:lvlText w:val="%1."/>
      <w:lvlJc w:val="left"/>
      <w:pPr>
        <w:ind w:left="720" w:hanging="360"/>
      </w:pPr>
    </w:lvl>
    <w:lvl w:ilvl="1" w:tplc="22496147" w:tentative="1">
      <w:start w:val="1"/>
      <w:numFmt w:val="lowerLetter"/>
      <w:lvlText w:val="%2."/>
      <w:lvlJc w:val="left"/>
      <w:pPr>
        <w:ind w:left="1440" w:hanging="360"/>
      </w:pPr>
    </w:lvl>
    <w:lvl w:ilvl="2" w:tplc="22496147" w:tentative="1">
      <w:start w:val="1"/>
      <w:numFmt w:val="lowerRoman"/>
      <w:lvlText w:val="%3."/>
      <w:lvlJc w:val="right"/>
      <w:pPr>
        <w:ind w:left="2160" w:hanging="180"/>
      </w:pPr>
    </w:lvl>
    <w:lvl w:ilvl="3" w:tplc="22496147" w:tentative="1">
      <w:start w:val="1"/>
      <w:numFmt w:val="decimal"/>
      <w:lvlText w:val="%4."/>
      <w:lvlJc w:val="left"/>
      <w:pPr>
        <w:ind w:left="2880" w:hanging="360"/>
      </w:pPr>
    </w:lvl>
    <w:lvl w:ilvl="4" w:tplc="22496147" w:tentative="1">
      <w:start w:val="1"/>
      <w:numFmt w:val="lowerLetter"/>
      <w:lvlText w:val="%5."/>
      <w:lvlJc w:val="left"/>
      <w:pPr>
        <w:ind w:left="3600" w:hanging="360"/>
      </w:pPr>
    </w:lvl>
    <w:lvl w:ilvl="5" w:tplc="22496147" w:tentative="1">
      <w:start w:val="1"/>
      <w:numFmt w:val="lowerRoman"/>
      <w:lvlText w:val="%6."/>
      <w:lvlJc w:val="right"/>
      <w:pPr>
        <w:ind w:left="4320" w:hanging="180"/>
      </w:pPr>
    </w:lvl>
    <w:lvl w:ilvl="6" w:tplc="22496147" w:tentative="1">
      <w:start w:val="1"/>
      <w:numFmt w:val="decimal"/>
      <w:lvlText w:val="%7."/>
      <w:lvlJc w:val="left"/>
      <w:pPr>
        <w:ind w:left="5040" w:hanging="360"/>
      </w:pPr>
    </w:lvl>
    <w:lvl w:ilvl="7" w:tplc="22496147" w:tentative="1">
      <w:start w:val="1"/>
      <w:numFmt w:val="lowerLetter"/>
      <w:lvlText w:val="%8."/>
      <w:lvlJc w:val="left"/>
      <w:pPr>
        <w:ind w:left="5760" w:hanging="360"/>
      </w:pPr>
    </w:lvl>
    <w:lvl w:ilvl="8" w:tplc="22496147" w:tentative="1">
      <w:start w:val="1"/>
      <w:numFmt w:val="lowerRoman"/>
      <w:lvlText w:val="%9."/>
      <w:lvlJc w:val="right"/>
      <w:pPr>
        <w:ind w:left="6480" w:hanging="180"/>
      </w:pPr>
    </w:lvl>
  </w:abstractNum>
  <w:abstractNum w:abstractNumId="19098267">
    <w:multiLevelType w:val="hybridMultilevel"/>
    <w:lvl w:ilvl="0" w:tplc="41870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98267">
    <w:abstractNumId w:val="19098267"/>
  </w:num>
  <w:num w:numId="19098268">
    <w:abstractNumId w:val="19098268"/>
  </w:num>
  <w:num w:numId="617736347">
    <w:abstractNumId w:val="617736347"/>
  </w:num>
  <w:num w:numId="114868442">
    <w:abstractNumId w:val="114868442"/>
  </w:num>
  <w:num w:numId="19098269">
    <w:abstractNumId w:val="19098269"/>
  </w:num>
  <w:num w:numId="902731634">
    <w:abstractNumId w:val="902731634"/>
  </w:num>
  <w:num w:numId="490183688">
    <w:abstractNumId w:val="490183688"/>
  </w:num>
  <w:num w:numId="829798317">
    <w:abstractNumId w:val="829798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57171028" Type="http://schemas.openxmlformats.org/officeDocument/2006/relationships/numbering" Target="numbering.xml"/><Relationship Id="rId92073849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