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24219317" w:name="document"/>
    <w:bookmarkEnd w:id="24219317"/>
    <w:p/>
    <w:p>
      <w:pPr>
        <w:widowControl w:val="on"/>
        <w:pBdr/>
        <w:spacing w:before="0" w:after="280" w:line="240" w:lineRule="auto"/>
        <w:ind w:left="0" w:right="0"/>
        <w:jc w:val="left"/>
      </w:pPr>
      <w:r>
        <w:rPr>
          <w:rFonts w:ascii="Arial" w:hAnsi="Arial" w:eastAsia="Arial" w:cs="Arial"/>
          <w:color w:val="363A40"/>
          <w:sz w:val="24"/>
          <w:szCs w:val="24"/>
        </w:rPr>
        <w:t xml:space="preserve">Dokument-ID: 774038 | Redaktion FORUM Media -
Karin Zahiragic - Albert Scherzer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Liegenschaftskaufvertrag (Mindestinhalt)</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Kaufvertrag</w:t>
      </w:r>
    </w:p>
    <w:p>
      <w:pPr>
        <w:widowControl w:val="on"/>
        <w:pBdr/>
        <w:spacing w:before="140" w:after="240" w:line="288" w:lineRule="auto"/>
        <w:ind w:left="0" w:right="0"/>
        <w:jc w:val="left"/>
      </w:pPr>
      <w:r>
        <w:rPr>
          <w:rFonts w:ascii="Arial" w:hAnsi="Arial" w:eastAsia="Arial" w:cs="Arial"/>
          <w:color w:val="000000"/>
          <w:sz w:val="20"/>
          <w:szCs w:val="20"/>
        </w:rPr>
        <w:t xml:space="preserve">abgeschlossen zwischen</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 wohnhaft in …, als Verkäufer
und in der Folge kurz als solcher bezeichnet einerseits, und</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 wohnhaft in …, als Käufer und
in der Folge kurz als solcher bezeichnet andererseits, am heutigen
Tag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 Kaufgegenstand</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ist grundbücherlicher Alleineigentümer der
Liegenschaft EZ …, GB …, … KG, einkommend im Grundbuch des BG …
bestehend aus dem Grundstück Nr … mit der Grundstücksadresse
im unverbürgten Gesamtausmaß von … m².</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stellt ein unbebautes Grundstück mit der
Flächenwidmung … dar.</w:t>
      </w:r>
    </w:p>
    <w:p>
      <w:pPr>
        <w:widowControl w:val="on"/>
        <w:pBdr/>
        <w:spacing w:before="140" w:after="240" w:line="288" w:lineRule="auto"/>
        <w:ind w:left="0" w:right="0"/>
        <w:jc w:val="left"/>
      </w:pPr>
      <w:r>
        <w:rPr>
          <w:rFonts w:ascii="Arial" w:hAnsi="Arial" w:eastAsia="Arial" w:cs="Arial"/>
          <w:color w:val="000000"/>
          <w:sz w:val="20"/>
          <w:szCs w:val="20"/>
        </w:rPr>
        <w:t xml:space="preserve">Die Liegenschaft ist nach Auskunft des Verkäufers und nach
Einsichtnahme in das Grundbuch am Tag der Vertragsunterfertigung
frei von allen bücherlichen und außerbücherlichen Lasten.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 Kaufpreis</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verkauft und übergibt und der Käufer kauft und
übernimmt die in Punkt I. dieses Vertrages näher bezeichnete
Liegenschaft mit allen Rechten und Befugnissen mit denen der
Verkäufer diese besessen und benützt hat bzw zu benützen und zu
besitzen berechtigt war, um den beiderseits vereinbarten Kaufpreis
von EUR … (in Worten: … Euro).</w:t>
      </w:r>
    </w:p>
    <w:p>
      <w:pPr>
        <w:widowControl w:val="on"/>
        <w:pBdr/>
        <w:spacing w:before="140" w:after="240" w:line="288" w:lineRule="auto"/>
        <w:ind w:left="0" w:right="0"/>
        <w:jc w:val="left"/>
      </w:pPr>
      <w:r>
        <w:rPr>
          <w:rFonts w:ascii="Arial" w:hAnsi="Arial" w:eastAsia="Arial" w:cs="Arial"/>
          <w:color w:val="000000"/>
          <w:sz w:val="20"/>
          <w:szCs w:val="20"/>
        </w:rPr>
        <w:t xml:space="preserve">Der Käufer hat innerhalb von zwei Wochen ab
Vertragsunterzeichnung den Kaufpreis zuzüglich 3,5 %
Grunderwerbsteuer (in Worten: … Euro) und 1,1 %
Grundbuchseintragungsgebühr (in Worten: … Euro), insgesamt somit
einen Betrag von EUR … (in Worten: … Euro) bei Herrn Dr. Max
Mustermann, Rechtsanwalt in 1010 Wien, Mustermanngasse 3/5
(nachfolgend „Treuhänder“ genannt), auf dem Anderkonto
Nr 4567789 bei der Bank Austria AG (IBAN: …, BIC: …)
treuhändig zu erlegen.</w:t>
      </w:r>
    </w:p>
    <w:p>
      <w:pPr>
        <w:widowControl w:val="on"/>
        <w:pBdr/>
        <w:spacing w:before="140" w:after="240" w:line="288" w:lineRule="auto"/>
        <w:ind w:left="0" w:right="0"/>
        <w:jc w:val="left"/>
      </w:pPr>
      <w:r>
        <w:rPr>
          <w:rFonts w:ascii="Arial" w:hAnsi="Arial" w:eastAsia="Arial" w:cs="Arial"/>
          <w:color w:val="000000"/>
          <w:sz w:val="20"/>
          <w:szCs w:val="20"/>
        </w:rPr>
        <w:t xml:space="preserve">Der Treuhänder erhält von den Vertragsparteien den einseitig
unwiderruflichen Auftrag, den oben genannten Betrag in der Höhe von
EUR … (in Worten: … Euro) abzüglich etwaiger Bankspesen an den
Verkäufer auf dessen Konto, IBAN Nr …, BIC: …, bei der Erste
Bank, zu überweisen, sobald der Käufer als alleiniger Eigentümer
des Kaufgegenstands im Grundbuch eingetragen ist.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 Haftung</w:t>
      </w:r>
    </w:p>
    <w:p>
      <w:pPr>
        <w:widowControl w:val="on"/>
        <w:pBdr/>
        <w:spacing w:before="140" w:after="240" w:line="288" w:lineRule="auto"/>
        <w:ind w:left="0" w:right="0"/>
        <w:jc w:val="left"/>
      </w:pPr>
      <w:r>
        <w:rPr>
          <w:rFonts w:ascii="Arial" w:hAnsi="Arial" w:eastAsia="Arial" w:cs="Arial"/>
          <w:color w:val="000000"/>
          <w:sz w:val="20"/>
          <w:szCs w:val="20"/>
        </w:rPr>
        <w:t xml:space="preserve">Der Verkäufer haftet weder für eine bestimmte Beschaffenheit
noch für ein bestimmtes Erträgnis der kaufgegenständlichen
Liegenschaft. Er leistet jedoch Gewähr dafür, dass die
kaufgegenständliche Liegenschaft frei von Lasten Dritter in das
Eigentum des Käufers übergeht.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dass sie sich vor
Vertragsabschluss über den Wert der kaufgegenständlichen
Liegenschaft genaue Kenntnis verschafft haben. Der Kaufpreis wird
aufgrund des Zustands und der Beschaffenheit des Kaufgegenstands
von den Vertragsparteien als angemessen angesehen. Die
Vertragsparteien schließen diesen Vertrag somit in Kenntnis des
wahren Wertes des Kaufgegenstands und in Kenntnis des Wertes von
Leistung und Gegenleistung ab. Die Vertragsparteien verzichten
ausdrücklich auf eine diesbezügliche Anfechtung, Aufhebung oder
Änderung des gegenständlichen Vertrags wegen Irrtums oder
Verkürzung über die Hälfte.</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 Übergabe und Übernahme</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Übernahme der kaufgegenständlichen Liegenschaft
erfolgte bereits am … Gefahr und Zufall, Nutzen und Lasten gehen
mit diesem Tag auf den Käufer über, ab welchem Tag dieser auch
sämtliche für die kaufgegenständliche Liegenschaft zu entrichtenden
Steuern und Gebühren und dergleichen zu tragen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 Allgemeines</w:t>
      </w:r>
    </w:p>
    <w:p>
      <w:pPr>
        <w:widowControl w:val="on"/>
        <w:pBdr/>
        <w:spacing w:before="140" w:after="240" w:line="288" w:lineRule="auto"/>
        <w:ind w:left="0" w:right="0"/>
        <w:jc w:val="left"/>
      </w:pPr>
      <w:r>
        <w:rPr>
          <w:rFonts w:ascii="Arial" w:hAnsi="Arial" w:eastAsia="Arial" w:cs="Arial"/>
          <w:color w:val="000000"/>
          <w:sz w:val="20"/>
          <w:szCs w:val="20"/>
        </w:rPr>
        <w:t xml:space="preserve">Alle mit der Errichtung und grundbücherlichen Durchführung
dieses Vertrages verbundenen Kosten, Steuern und Gebühren aller Art
trägt der Käufer allein. Ausgenommen davon ist die
Immobilienertragsteuer, deren Abwicklung und Entrichtung
ausschließlich dem Verkäufer obliegen.</w:t>
      </w:r>
    </w:p>
    <w:p>
      <w:pPr>
        <w:widowControl w:val="on"/>
        <w:pBdr/>
        <w:spacing w:before="140" w:after="240" w:line="288" w:lineRule="auto"/>
        <w:ind w:left="0" w:right="0"/>
        <w:jc w:val="left"/>
      </w:pPr>
      <w:r>
        <w:rPr>
          <w:rFonts w:ascii="Arial" w:hAnsi="Arial" w:eastAsia="Arial" w:cs="Arial"/>
          <w:color w:val="000000"/>
          <w:sz w:val="20"/>
          <w:szCs w:val="20"/>
        </w:rPr>
        <w:t xml:space="preserve">Der Käufer erklärt österreichischer Staatsbürger und
Deviseninländer zu sein.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 Aufsandungserklärung</w:t>
      </w:r>
    </w:p>
    <w:p>
      <w:pPr>
        <w:widowControl w:val="on"/>
        <w:pBdr/>
        <w:spacing w:before="140" w:after="240" w:line="288" w:lineRule="auto"/>
        <w:ind w:left="0" w:right="0"/>
        <w:jc w:val="left"/>
      </w:pPr>
      <w:r>
        <w:rPr>
          <w:rFonts w:ascii="Arial" w:hAnsi="Arial" w:eastAsia="Arial" w:cs="Arial"/>
          <w:color w:val="000000"/>
          <w:sz w:val="20"/>
          <w:szCs w:val="20"/>
        </w:rPr>
        <w:t xml:space="preserve">Die Verkäufer erteilt sohin die ausdrückliche und
unwiderrufliche Einwilligung, dass aufgrund dieses Kaufvertrags
ohne sein weiteres Wissen und Zutun, jedoch nicht auf seine Kosten
ob der Liegenschaft EZ …, GB … einkommend im Grundbuch des BG …
bestehend aus dem Grundstück Nr … mit der Grundstücksadresse
…, das alleinige Eigentumsrecht für</w:t>
      </w:r>
    </w:p>
    <w:p>
      <w:pPr>
        <w:widowControl w:val="on"/>
        <w:pBdr/>
        <w:spacing w:before="140" w:after="240" w:line="288" w:lineRule="auto"/>
        <w:ind w:left="0" w:right="0"/>
        <w:jc w:val="left"/>
      </w:pPr>
      <w:r>
        <w:rPr>
          <w:rFonts w:ascii="Arial" w:hAnsi="Arial" w:eastAsia="Arial" w:cs="Arial"/>
          <w:color w:val="000000"/>
          <w:sz w:val="20"/>
          <w:szCs w:val="20"/>
        </w:rPr>
        <w:t xml:space="preserve">… [Vor- und Zuname], geboren am …</w:t>
      </w:r>
      <w:r>
        <w:rPr>
          <w:rFonts w:ascii="Arial" w:hAnsi="Arial" w:eastAsia="Arial" w:cs="Arial"/>
          <w:color w:val="000000"/>
          <w:sz w:val="20"/>
          <w:szCs w:val="20"/>
        </w:rPr>
        <w:br/>
        <w:t xml:space="preserve">wohnhaft in …</w:t>
      </w:r>
    </w:p>
    <w:p>
      <w:pPr>
        <w:widowControl w:val="on"/>
        <w:pBdr/>
        <w:spacing w:before="140" w:after="240" w:line="288" w:lineRule="auto"/>
        <w:ind w:left="0" w:right="0"/>
        <w:jc w:val="left"/>
      </w:pPr>
      <w:r>
        <w:rPr>
          <w:rFonts w:ascii="Arial" w:hAnsi="Arial" w:eastAsia="Arial" w:cs="Arial"/>
          <w:color w:val="000000"/>
          <w:sz w:val="20"/>
          <w:szCs w:val="20"/>
        </w:rPr>
        <w:t xml:space="preserve">einverleibt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 Vollmacht</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beauftragen und bevollmächtigen
ausdrücklich und unwiderruflich Herrn Dr. Max Mustermann,
Rechtsanwalt in 1010 Wien, Mustermanngasse 3/5, alle Erklärungen,
Ergänzungen, und Änderungen dieses Vertrags, auch in beglaubigter
Form, vorzunehmen, sofern diese für die grundbücherliche
Durchführung dieses Vertrags erforderlich sind. Diese Vollmacht
ermächtigt, weiters zur Abgabe von Erklärungen gegenüber dem
Finanzamt, den Gerichten und sonstigen Behörden sowie zur
Empfangnahme von Bescheiden, Beschlüssen und Urkunden aller Art,
soweit dies für die Durchführung dieses Kaufvertrags notwendig oder
zweckmäßig ist.</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des Verkäufers, Geburtsdatum]</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[beglaubigte Unterschrift des Käufers, Geburtsdatum]</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65607719" w:name="note1"/>
            <w:bookmarkEnd w:id="65607719"/>
            <w:bookmarkStart w:id="4851657511132" w:name="note1"/>
            <w:r>
              <w:rPr>
                <w:rFonts w:ascii="Arial" w:hAnsi="Arial" w:eastAsia="Arial" w:cs="Arial"/>
                <w:b/>
                <w:bCs/>
                <w:color w:val="000000"/>
                <w:position w:val="0"/>
                <w:sz w:val="20"/>
                <w:szCs w:val="20"/>
              </w:rPr>
              <w:t xml:space="preserve">[1]</w:t>
            </w:r>
            <w:bookmarkEnd w:id="4851657511132"/>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Angaben über die österreichische Staatsbürgerschaft bzw
Deviseninländereigenschaft sind für das Devisengesetz und die
Landesgrundverkehrsgesetze bedeutsame Erklärungen.</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71490421" w:name="note2"/>
            <w:bookmarkEnd w:id="71490421"/>
            <w:bookmarkStart w:id="3497973428676" w:name="note2"/>
            <w:r>
              <w:rPr>
                <w:rFonts w:ascii="Arial" w:hAnsi="Arial" w:eastAsia="Arial" w:cs="Arial"/>
                <w:b/>
                <w:bCs/>
                <w:color w:val="000000"/>
                <w:position w:val="0"/>
                <w:sz w:val="20"/>
                <w:szCs w:val="20"/>
              </w:rPr>
              <w:t xml:space="preserve">[2]</w:t>
            </w:r>
            <w:bookmarkEnd w:id="3497973428676"/>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Es ist die ausdrückliche Erklärung desjenigen, dessen Rechte
beschränkt, belastet, aufgehoben oder auf eine andere Person
übertragen werden (NZ 1990, 100), in die Einverleibung
einzuwilligen (RdW 1996, 529). Die Erklärung kann entweder in der
Titelurkunde (Kaufvertrag), in einer besonderen Urkunde oder erst
im Grundbuchsgesuch selbst abgegeben werden. In den letztgenannten
Fällen genügt die beglaubigte Unterschrift des Veräußerers entweder
auf der gesonderten Urkunde oder auf dem Gesuch. Daneben muss
jedoch zusätzlich die von beiden Vertragsteilen unterfertigte
Titelurkunde (Kaufvertrag) vorgelegt werden, wobei dabei die
Unterschrift des Veräußerers auf der Titelurkunde nicht beglaubigt
sein muss (RPflSlgG 808; 321). Die Einverleibungsbewilligung
(Aufsandungserklärung) ist einerseits Bestandteil der
einverleibungsfähigen Urkunde (Kaufvertrag) und damit
Formerfordernis des Bucheintrages, zum anderen auch materielles
Erfordernis der Rechtsänderung und als solches dingliches
Verfügungsgeschäft. Durch die Erteilung der
Einverleibungsbewilligung erlangt der hiedurch Begünstigte eine
Rechtsposition die ihm befähigt, die dingliche Rechtsänderung ohne
weiteres Einverständnis bzw Handeln des durch die Rechtsänderung
Betroffenen herbeizuführen (NZ 1981, 116).</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0245610" w:name="note3"/>
            <w:bookmarkEnd w:id="20245610"/>
            <w:bookmarkStart w:id="1368029713773" w:name="note3"/>
            <w:r>
              <w:rPr>
                <w:rFonts w:ascii="Arial" w:hAnsi="Arial" w:eastAsia="Arial" w:cs="Arial"/>
                <w:b/>
                <w:bCs/>
                <w:color w:val="000000"/>
                <w:position w:val="0"/>
                <w:sz w:val="20"/>
                <w:szCs w:val="20"/>
              </w:rPr>
              <w:t xml:space="preserve">[3]</w:t>
            </w:r>
            <w:bookmarkEnd w:id="1368029713773"/>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Der Einverleibung des Eigentumsrechtes kann jedoch gem § 31
GBG nur aufgrund einer öffentlichen Urkunde oder einer solchen
Privaturkunde geschehen, auf der die Unterschriften der Parteien
gerichtlich oder notariell beglaubigt sind, und der
Beglaubigungsvermerk bei natürlichen Personen das Geburtsdatum
enthält.</w:t>
            </w:r>
          </w:p>
        </w:tc>
      </w:tr>
    </w:tbl>
    <w:p/>
    <w:tbl>
      <w:tblPr>
        <w:tblStyle w:val="NormalTablePHPDOCX"/>
        <w:tblW w:w="0" w:type="auto"/>
        <w:tblInd w:w="0" w:type="auto"/>
        <w:tblBorders/>
      </w:tblPr>
      <w:tblGrid>
        <w:gridCol w:w="330"/>
        <w:gridCol w:w="4670"/>
      </w:tblGrid>
      <w:tr>
        <w:trPr>
          <w:trHeight w:val="0" w:hRule="atLeast"/>
        </w:trPr>
        <w:tc>
          <w:tcPr>
            <w:tcW w:w="330" w:type="pct"/>
            <w:tcMar>
              <w:top w:w="156" w:type="dxa"/>
              <w:left w:w="0" w:type="auto"/>
              <w:bottom w:w="78" w:type="dxa"/>
              <w:right w:w="0" w:type="auto"/>
            </w:tcMar>
            <w:vAlign w:val="top"/>
          </w:tcPr>
          <w:p>
            <w:pPr>
              <w:widowControl w:val="on"/>
              <w:pBdr/>
              <w:spacing w:before="0" w:after="0" w:line="288" w:lineRule="auto"/>
              <w:ind w:left="0" w:right="0"/>
              <w:jc w:val="left"/>
              <w:textAlignment w:val="top"/>
            </w:pPr>
            <w:bookmarkStart w:id="29424536" w:name="note4"/>
            <w:bookmarkEnd w:id="29424536"/>
            <w:bookmarkStart w:id="8998025002598" w:name="note4"/>
            <w:r>
              <w:rPr>
                <w:rFonts w:ascii="Arial" w:hAnsi="Arial" w:eastAsia="Arial" w:cs="Arial"/>
                <w:b/>
                <w:bCs/>
                <w:color w:val="000000"/>
                <w:position w:val="0"/>
                <w:sz w:val="20"/>
                <w:szCs w:val="20"/>
              </w:rPr>
              <w:t xml:space="preserve">[4]</w:t>
            </w:r>
            <w:bookmarkEnd w:id="8998025002598"/>
          </w:p>
        </w:tc>
        <w:tc>
          <w:tcPr>
            <w:tcW w:w="4670" w:type="pct"/>
            <w:tcMar>
              <w:top w:w="156" w:type="dxa"/>
              <w:left w:w="0" w:type="auto"/>
              <w:bottom w:w="78" w:type="dxa"/>
              <w:right w:w="0" w:type="auto"/>
            </w:tcMar>
            <w:vAlign w:val="top"/>
          </w:tcPr>
          <w:p>
            <w:pPr>
              <w:widowControl w:val="on"/>
              <w:pBdr/>
              <w:spacing w:before="0" w:after="0" w:line="288" w:lineRule="auto"/>
              <w:ind w:left="0" w:right="0"/>
              <w:jc w:val="left"/>
              <w:textAlignment w:val="top"/>
            </w:pPr>
            <w:r>
              <w:rPr>
                <w:rFonts w:ascii="Arial" w:hAnsi="Arial" w:eastAsia="Arial" w:cs="Arial"/>
                <w:color w:val="000000"/>
                <w:position w:val="0"/>
                <w:sz w:val="20"/>
                <w:szCs w:val="20"/>
              </w:rPr>
              <w:t xml:space="preserve">Die Beglaubigung der Unterschrift hat nicht nur hinsichtlich
jener Personen zu erfolgen, deren Rechte beschränkt, belastet,
aufgehoben oder auf eine andere Person übertragen werden sollen,
vielmehr wird die Beglaubigung der Unterschrift der Parteien
schlechthin verlangt. Parteien iSd § 31 Abs 1 GBG sind
jene Beteiligten, deren unmittelbare Mitwirkung bei der Errichtung
jener Grundbuchsurkunde notwendig ist, um die beabsichtigte
Rechtsänderung im Grundbuch herbeizuführen.</w:t>
            </w:r>
          </w:p>
        </w:tc>
      </w:tr>
    </w:tbl>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8329144">
    <w:multiLevelType w:val="hybridMultilevel"/>
    <w:lvl w:ilvl="0" w:tplc="81263060">
      <w:start w:val="1"/>
      <w:numFmt w:val="decimal"/>
      <w:lvlText w:val="%1."/>
      <w:lvlJc w:val="left"/>
      <w:pPr>
        <w:ind w:left="720" w:hanging="360"/>
      </w:pPr>
    </w:lvl>
    <w:lvl w:ilvl="1" w:tplc="81263060" w:tentative="1">
      <w:start w:val="1"/>
      <w:numFmt w:val="lowerLetter"/>
      <w:lvlText w:val="%2."/>
      <w:lvlJc w:val="left"/>
      <w:pPr>
        <w:ind w:left="1440" w:hanging="360"/>
      </w:pPr>
    </w:lvl>
    <w:lvl w:ilvl="2" w:tplc="81263060" w:tentative="1">
      <w:start w:val="1"/>
      <w:numFmt w:val="lowerRoman"/>
      <w:lvlText w:val="%3."/>
      <w:lvlJc w:val="right"/>
      <w:pPr>
        <w:ind w:left="2160" w:hanging="180"/>
      </w:pPr>
    </w:lvl>
    <w:lvl w:ilvl="3" w:tplc="81263060" w:tentative="1">
      <w:start w:val="1"/>
      <w:numFmt w:val="decimal"/>
      <w:lvlText w:val="%4."/>
      <w:lvlJc w:val="left"/>
      <w:pPr>
        <w:ind w:left="2880" w:hanging="360"/>
      </w:pPr>
    </w:lvl>
    <w:lvl w:ilvl="4" w:tplc="81263060" w:tentative="1">
      <w:start w:val="1"/>
      <w:numFmt w:val="lowerLetter"/>
      <w:lvlText w:val="%5."/>
      <w:lvlJc w:val="left"/>
      <w:pPr>
        <w:ind w:left="3600" w:hanging="360"/>
      </w:pPr>
    </w:lvl>
    <w:lvl w:ilvl="5" w:tplc="81263060" w:tentative="1">
      <w:start w:val="1"/>
      <w:numFmt w:val="lowerRoman"/>
      <w:lvlText w:val="%6."/>
      <w:lvlJc w:val="right"/>
      <w:pPr>
        <w:ind w:left="4320" w:hanging="180"/>
      </w:pPr>
    </w:lvl>
    <w:lvl w:ilvl="6" w:tplc="81263060" w:tentative="1">
      <w:start w:val="1"/>
      <w:numFmt w:val="decimal"/>
      <w:lvlText w:val="%7."/>
      <w:lvlJc w:val="left"/>
      <w:pPr>
        <w:ind w:left="5040" w:hanging="360"/>
      </w:pPr>
    </w:lvl>
    <w:lvl w:ilvl="7" w:tplc="81263060" w:tentative="1">
      <w:start w:val="1"/>
      <w:numFmt w:val="lowerLetter"/>
      <w:lvlText w:val="%8."/>
      <w:lvlJc w:val="left"/>
      <w:pPr>
        <w:ind w:left="5760" w:hanging="360"/>
      </w:pPr>
    </w:lvl>
    <w:lvl w:ilvl="8" w:tplc="81263060" w:tentative="1">
      <w:start w:val="1"/>
      <w:numFmt w:val="lowerRoman"/>
      <w:lvlText w:val="%9."/>
      <w:lvlJc w:val="right"/>
      <w:pPr>
        <w:ind w:left="6480" w:hanging="180"/>
      </w:pPr>
    </w:lvl>
  </w:abstractNum>
  <w:abstractNum w:abstractNumId="78329143">
    <w:multiLevelType w:val="hybridMultilevel"/>
    <w:lvl w:ilvl="0" w:tplc="5251827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8329143">
    <w:abstractNumId w:val="78329143"/>
  </w:num>
  <w:num w:numId="78329144">
    <w:abstractNumId w:val="7832914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110246716" Type="http://schemas.openxmlformats.org/officeDocument/2006/relationships/numbering" Target="numbering.xml"/><Relationship Id="rId712859744"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