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4765604" w:name="document"/>
    <w:bookmarkEnd w:id="34765604"/>
    <w:p/>
    <w:p>
      <w:pPr>
        <w:widowControl w:val="on"/>
        <w:pBdr/>
        <w:spacing w:before="0" w:after="280" w:line="240" w:lineRule="auto"/>
        <w:ind w:left="0" w:right="0"/>
        <w:jc w:val="left"/>
      </w:pPr>
      <w:r>
        <w:rPr>
          <w:rFonts w:ascii="Arial" w:hAnsi="Arial" w:eastAsia="Arial" w:cs="Arial"/>
          <w:color w:val="363A40"/>
          <w:sz w:val="24"/>
          <w:szCs w:val="24"/>
        </w:rPr>
        <w:t xml:space="preserve">Dokument-ID: 1162365 | Redaktion FORUM Media -
Albert Scherzer - Karin Zahiragic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Checkliste Umsatzsteuer</w:t>
      </w:r>
    </w:p>
    <w:p>
      <w:pPr>
        <w:widowControl w:val="on"/>
        <w:pBdr/>
        <w:spacing w:before="140" w:after="240" w:line="288" w:lineRule="auto"/>
        <w:ind w:left="0" w:right="0"/>
        <w:jc w:val="left"/>
      </w:pPr>
      <w:r>
        <w:rPr>
          <w:rFonts w:ascii="Arial" w:hAnsi="Arial" w:eastAsia="Arial" w:cs="Arial"/>
          <w:color w:val="000000"/>
          <w:sz w:val="20"/>
          <w:szCs w:val="20"/>
        </w:rPr>
        <w:t xml:space="preserve">Die Umsatzsteuer entsprechend der Regelung nach dem UStG 1994
ist dem Wesen nach</w:t>
      </w:r>
    </w:p>
    <w:p>
      <w:pPr>
        <w:numPr>
          <w:ilvl w:val="0"/>
          <w:numId w:val="5975299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indirekte Steuer (Steuerträger und Steuerschuldner sind
nicht ident),</w:t>
      </w:r>
    </w:p>
    <w:p>
      <w:pPr>
        <w:numPr>
          <w:ilvl w:val="0"/>
          <w:numId w:val="5975299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Sach-/Objektsteuer (es wird auf die persönliche
Verhältnisse keine Rücksicht genommen),</w:t>
      </w:r>
    </w:p>
    <w:p>
      <w:pPr>
        <w:numPr>
          <w:ilvl w:val="0"/>
          <w:numId w:val="5975299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gesetzestechnisch betrachtet eine allgemeine Verkehrsteuer (es
wird an den wirtschaftlichen Verkehr angeknüpft),</w:t>
      </w:r>
    </w:p>
    <w:p>
      <w:pPr>
        <w:numPr>
          <w:ilvl w:val="0"/>
          <w:numId w:val="5975299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wirtschaftlicher Betrachtung eine allgemeine
Verbrauchsteuer (sie belastet den Verbrauch),</w:t>
      </w:r>
    </w:p>
    <w:p>
      <w:pPr>
        <w:numPr>
          <w:ilvl w:val="0"/>
          <w:numId w:val="5975299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Mehrwertsteuer (dh die Umsatzsteuer wird als
„Mehrwertsteuer“ erhoben, was zur Folge hat, dass die Steuer den im
Unternehmen geschaffenen Mehrwert einer Leistung erfasst),</w:t>
      </w:r>
    </w:p>
    <w:p>
      <w:pPr>
        <w:numPr>
          <w:ilvl w:val="0"/>
          <w:numId w:val="5975299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Allphasennettowertsteuer (dh die Umsatzsteuer entsteht auf
jeder Wirtschaftsstufe, unabhängig davon, ob Handelsstufe oder
Produktionsstufe. Dies führt dazu, dass bei Kauf einer Ware oder
Dienstleistung die Mehrwertsteuer zu bezahlen ist).</w:t>
      </w:r>
    </w:p>
    <w:p>
      <w:pPr>
        <w:numPr>
          <w:ilvl w:val="0"/>
          <w:numId w:val="5975299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gemeinschaftliche Bundesabgabe (§ 7 Abs 1 FAG, sie
wird zwischen Bund, Länder und Gemeinden geteilt).</w:t>
      </w:r>
    </w:p>
    <w:p>
      <w:pPr>
        <w:widowControl w:val="on"/>
        <w:pBdr/>
        <w:spacing w:before="140" w:after="240" w:line="288" w:lineRule="auto"/>
        <w:ind w:left="0" w:right="0"/>
        <w:jc w:val="left"/>
      </w:pPr>
      <w:r>
        <w:rPr>
          <w:rFonts w:ascii="Arial" w:hAnsi="Arial" w:eastAsia="Arial" w:cs="Arial"/>
          <w:color w:val="000000"/>
          <w:sz w:val="20"/>
          <w:szCs w:val="20"/>
        </w:rPr>
        <w:t xml:space="preserve">Durch die Abzugsfähigkeit der Umsatzsteuerbeträge aus den
vorgelagerten Wirtschaftsstufen, der so genannten Vorsteuer, stellt
die Umsatzsteuer für den jeweiligen Unternehmer einen
durchlaufenden Posten dar. Sie ist ihrem Wesen nach daher
weiters</w:t>
      </w:r>
    </w:p>
    <w:p>
      <w:pPr>
        <w:numPr>
          <w:ilvl w:val="0"/>
          <w:numId w:val="9590949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aufwandsneutral,</w:t>
      </w:r>
    </w:p>
    <w:p>
      <w:pPr>
        <w:numPr>
          <w:ilvl w:val="0"/>
          <w:numId w:val="9590949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kostenneutral,</w:t>
      </w:r>
    </w:p>
    <w:p>
      <w:pPr>
        <w:numPr>
          <w:ilvl w:val="0"/>
          <w:numId w:val="9590949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erfolgsneutral und</w:t>
      </w:r>
    </w:p>
    <w:p>
      <w:pPr>
        <w:numPr>
          <w:ilvl w:val="0"/>
          <w:numId w:val="9590949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wettbewerbsneutral.</w:t>
      </w:r>
    </w:p>
    <w:p>
      <w:pPr>
        <w:widowControl w:val="on"/>
        <w:pBdr/>
        <w:spacing w:before="140" w:after="240" w:line="288" w:lineRule="auto"/>
        <w:ind w:left="0" w:right="0"/>
        <w:jc w:val="left"/>
      </w:pPr>
      <w:r>
        <w:rPr>
          <w:rFonts w:ascii="Arial" w:hAnsi="Arial" w:eastAsia="Arial" w:cs="Arial"/>
          <w:color w:val="000000"/>
          <w:sz w:val="20"/>
          <w:szCs w:val="20"/>
        </w:rPr>
        <w:t xml:space="preserve">Es ist zu beachten, dass für Bauleistungen ein Übergang der
Steuerschuld vom Leistungserbringer auf den Leistungsempfänger mit
der Konsequenz des Entfallens des üblichen Vorsteuerabzuges
normiert wurde, was eine Ausnahme zu dem üblichen System des UStG
1994 darstellt (§ 19 Abs 1a UStG).</w:t>
      </w:r>
    </w:p>
    <w:p>
      <w:pPr>
        <w:widowControl w:val="on"/>
        <w:pBdr/>
        <w:spacing w:before="140" w:after="240" w:line="288" w:lineRule="auto"/>
        <w:ind w:left="0" w:right="0"/>
        <w:jc w:val="left"/>
      </w:pPr>
      <w:r>
        <w:rPr>
          <w:rFonts w:ascii="Arial" w:hAnsi="Arial" w:eastAsia="Arial" w:cs="Arial"/>
          <w:color w:val="000000"/>
          <w:sz w:val="20"/>
          <w:szCs w:val="20"/>
        </w:rPr>
        <w:t xml:space="preserve">Dies hat zur Folge, dass bei Bauleistungen die Steuer vom
Empfänger der Leistung geschuldet wird, wenn der Empfänger
Unternehmer ist, der seinerseits mit der Erbringung der
Bauleistungen beauftragt ist. Der Leistungsempfänger hat auf den
Umstand, dass er mit der Erbringung der Bauleistungen beauftragt
ist, hinzuweisen. Erfolgt dies zu Unrecht, so schuldet auch der
Leistungsempfänger die auf den Umsatz entfallende Steuer.</w:t>
      </w:r>
    </w:p>
    <w:p>
      <w:pPr>
        <w:widowControl w:val="on"/>
        <w:pBdr/>
        <w:spacing w:before="140" w:after="240" w:line="288" w:lineRule="auto"/>
        <w:ind w:left="0" w:right="0"/>
        <w:jc w:val="left"/>
      </w:pPr>
      <w:r>
        <w:rPr>
          <w:rFonts w:ascii="Arial" w:hAnsi="Arial" w:eastAsia="Arial" w:cs="Arial"/>
          <w:color w:val="000000"/>
          <w:sz w:val="20"/>
          <w:szCs w:val="20"/>
        </w:rPr>
        <w:t xml:space="preserve">Im europäischen Binnenmarkt gilt bezüglich der Umsatzbesteuerung
von grenzüberschreitenden Lieferungen und Leistungen
grundsätzlich</w:t>
      </w:r>
    </w:p>
    <w:p>
      <w:pPr>
        <w:numPr>
          <w:ilvl w:val="0"/>
          <w:numId w:val="8221956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Bestimmungslandprinzip (eine Verbrauchsteuer soll endgültig
in dem Land anfallen, für das die Leistung bestimmt ist und in dem
die Leistung vom Letztverbraucher konsumiert wird). Dies gilt für
den Unternehmensbereich.</w:t>
      </w:r>
    </w:p>
    <w:p>
      <w:pPr>
        <w:numPr>
          <w:ilvl w:val="0"/>
          <w:numId w:val="8221956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Ursprungslandprinzip ist – mit einigen Ausnahmen – auf
grenzüberschreitende Umsätze von Privaten und Kleinunternehmern
anzuwenden. Beim Ursprungslandprinzip wird die Steuer dort erhoben,
wo der leistende Unternehmer sein Unternehmen betreibt, wo die Ware
erzeugt bzw geliefert wird.</w:t>
      </w:r>
    </w:p>
    <w:p>
      <w:pPr>
        <w:numPr>
          <w:ilvl w:val="0"/>
          <w:numId w:val="8221956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Innergemeinschaftliche Erwerbe im Unternehmensbereich sind im
Inland erwerbsteuerpflichtig.</w:t>
      </w:r>
    </w:p>
    <w:p>
      <w:pPr>
        <w:numPr>
          <w:ilvl w:val="0"/>
          <w:numId w:val="8221956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Innergemeinschaftliche Lieferungen im Unternehmensbereich sind
im Inland von der Umsatzsteuer befreit.</w:t>
      </w:r>
    </w:p>
    <w:p>
      <w:pPr>
        <w:widowControl w:val="on"/>
        <w:pBdr/>
        <w:spacing w:before="140" w:after="240" w:line="288" w:lineRule="auto"/>
        <w:ind w:left="0" w:right="0"/>
        <w:jc w:val="left"/>
      </w:pPr>
      <w:r>
        <w:rPr>
          <w:rFonts w:ascii="Arial" w:hAnsi="Arial" w:eastAsia="Arial" w:cs="Arial"/>
          <w:color w:val="000000"/>
          <w:sz w:val="20"/>
          <w:szCs w:val="20"/>
        </w:rPr>
        <w:t xml:space="preserve">Die Systematik der Umsatzbesteuerung nach der Systematik des
Umsatzsteuervoranmeldungsformulars:</w:t>
      </w:r>
    </w:p>
    <w:p>
      <w:pPr>
        <w:numPr>
          <w:ilvl w:val="0"/>
          <w:numId w:val="2346882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Steuernummer</w:t>
      </w:r>
      <w:r>
        <w:rPr>
          <w:rFonts w:ascii="Arial" w:hAnsi="Arial" w:eastAsia="Arial" w:cs="Arial"/>
          <w:color w:val="000000"/>
          <w:sz w:val="20"/>
          <w:szCs w:val="20"/>
        </w:rPr>
        <w:br/>
        <w:t xml:space="preserve">Der Steuerpflichtige erhält seine Steuernummer mit Meldung der
Aufnahme seiner unternehmerischen Tätigkeit. Diese Nummer behält er
grundsätzlich bis zu deren Löschung mit dem Ende der
unternehmerischen Tätigkeit.</w:t>
      </w:r>
    </w:p>
    <w:p>
      <w:pPr>
        <w:numPr>
          <w:ilvl w:val="0"/>
          <w:numId w:val="2346882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Finanzamt</w:t>
      </w:r>
      <w:r>
        <w:rPr>
          <w:rFonts w:ascii="Arial" w:hAnsi="Arial" w:eastAsia="Arial" w:cs="Arial"/>
          <w:color w:val="000000"/>
          <w:sz w:val="20"/>
          <w:szCs w:val="20"/>
        </w:rPr>
        <w:br/>
        <w:t xml:space="preserve">Den Finanzämtern mit allgemeinem Aufgabenkreis obliegt
gem § 13 AVOG die Erhebung der Abgaben, sowie die
Entgegennahme von Anbringen. Örtlich zuständig ist das
Wohnsitzfinanzamt bzw das Betriebsfinanzamt (§§ 20 ff AVOG).
Das Wohnsitzfinanzamt ist das Finanzamt, in dessen Bereich der
Abgabepflichtige mit Hauptwohnsitz angemeldet ist.
Betriebsfinanzamt ist das Finanzamt, in dessen Bereich eine
Körperschaft, Personenvereinigung ohne eigene Rechtspersönlichkeit
oder Vermögensmasse ihren Ort der Geschäftsleitung, oder sofern
dies nicht im Inland gelegen ist, ihren inländischen Sitz hat oder
hatte.</w:t>
      </w:r>
    </w:p>
    <w:p>
      <w:pPr>
        <w:numPr>
          <w:ilvl w:val="0"/>
          <w:numId w:val="2346882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USt-Voranmeldungszeitraum</w:t>
      </w:r>
      <w:r>
        <w:rPr>
          <w:rFonts w:ascii="Arial" w:hAnsi="Arial" w:eastAsia="Arial" w:cs="Arial"/>
          <w:color w:val="000000"/>
          <w:sz w:val="20"/>
          <w:szCs w:val="20"/>
        </w:rPr>
        <w:br/>
        <w:t xml:space="preserve">Der Steuerpflichtige hat die Umsätze monatlich oder quartalsweise
an das Finanzamt zu melden. Dies hat zu geschehen bis spätestens
zum 15. des zweitfolgenden Monats, der auf die Entstehung der
Steuerpflicht folgt:</w:t>
      </w:r>
      <w:r>
        <w:rPr>
          <w:rFonts w:ascii="Arial" w:hAnsi="Arial" w:eastAsia="Arial" w:cs="Arial"/>
          <w:color w:val="000000"/>
          <w:sz w:val="20"/>
          <w:szCs w:val="20"/>
        </w:rPr>
        <w:br/>
        <w:t xml:space="preserve">Die Umsätze des Monats Jänner eines Jahres sind damit per 15.03. zu
melden. Die Umsätze des 1. Quartals eines Jahres sind bis
spätestens 15.05. zu melden. Bei vierteljährlichem
Voranmeldungszeitraum ist die Voranmeldung bis zum 15. Mai, 15.
August, 15. November und 15. Februar einzureichen. Der
vierteljährliche Voranmeldungszeitraum ist für Unternehmen mit
einem Vorjahresumsatz bis EUR 100.000,– ausschlaggebend.
Ergibt sich eine Zahllast, muss diese spätestens am Fälligkeitstag
entrichtet werden!</w:t>
      </w:r>
    </w:p>
    <w:p>
      <w:pPr>
        <w:numPr>
          <w:ilvl w:val="0"/>
          <w:numId w:val="2346882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USt-Schuld</w:t>
      </w:r>
      <w:r>
        <w:rPr>
          <w:rFonts w:ascii="Arial" w:hAnsi="Arial" w:eastAsia="Arial" w:cs="Arial"/>
          <w:color w:val="000000"/>
          <w:sz w:val="20"/>
          <w:szCs w:val="20"/>
        </w:rPr>
        <w:br/>
        <w:t xml:space="preserve">Ergibt die Selbstberechnung der durch den Steuerpflichtigen
berechneten Umsatzsteuer eine Steuerschuld, auch USt-Zahllast
genannt, dann kann die Abgabe einer USt-Voranmeldung unterbleiben,
wenn stattdessen eine Einzahlung des geschuldeten Betrages an das
örtlich zuständige Finanzamt bis zum Abgabetermin erfolgt.</w:t>
      </w:r>
    </w:p>
    <w:p>
      <w:pPr>
        <w:numPr>
          <w:ilvl w:val="0"/>
          <w:numId w:val="2346882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Säumniszuschlag</w:t>
      </w:r>
      <w:r>
        <w:rPr>
          <w:rFonts w:ascii="Arial" w:hAnsi="Arial" w:eastAsia="Arial" w:cs="Arial"/>
          <w:color w:val="000000"/>
          <w:sz w:val="20"/>
          <w:szCs w:val="20"/>
        </w:rPr>
        <w:br/>
        <w:t xml:space="preserve">Auf dem Formular wird der Steuerpflichtige darauf hingewiesen, dass
bei nicht rechtzeitiger Abgabe der USt-Voranmeldung ein
Säumniszuschlag verhängt wird. Der Zuschlag beträgt 2 % (bei
qualifizierten Verspätungen bis zu 4 %), wobei dieser
üblicherweise erst ab einer Höhe von EUR 50,– verrechnet wird.
Davon befreit sind Unternehmer, die im vorangegangenen Kalenderjahr
einen Umsatz von nicht mehr als EUR 35.000,– erzielt haben,
wenn die Umsatzsteuer spätestens am Fälligkeitstag entrichtet wird
oder sich für einen Voranmeldungszeitraum keine Vorauszahlung
ergibt.</w:t>
      </w:r>
    </w:p>
    <w:p>
      <w:pPr>
        <w:numPr>
          <w:ilvl w:val="0"/>
          <w:numId w:val="2346882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Unternehmer</w:t>
      </w:r>
      <w:r>
        <w:rPr>
          <w:rFonts w:ascii="Arial" w:hAnsi="Arial" w:eastAsia="Arial" w:cs="Arial"/>
          <w:color w:val="000000"/>
          <w:sz w:val="20"/>
          <w:szCs w:val="20"/>
        </w:rPr>
        <w:br/>
        <w:t xml:space="preserve">Neben der Steuernummer hat der Unternehmer seinen Namen und seine
Anschrift bzw den Namen des Unternehmens und dessen Anschrift
anzugeben. Diese Angaben müssen übereinstimmen mit den Angaben, die
auf den Rechnungen des Steuerpflichtigen gemacht werden.</w:t>
      </w:r>
    </w:p>
    <w:p>
      <w:pPr>
        <w:numPr>
          <w:ilvl w:val="0"/>
          <w:numId w:val="2346882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Soll/Ist-Versteuerung</w:t>
      </w:r>
      <w:r>
        <w:rPr>
          <w:rFonts w:ascii="Arial" w:hAnsi="Arial" w:eastAsia="Arial" w:cs="Arial"/>
          <w:color w:val="000000"/>
          <w:sz w:val="20"/>
          <w:szCs w:val="20"/>
        </w:rPr>
        <w:br/>
        <w:t xml:space="preserve">Der Steuerpflichtige hat in der USt-Voranmeldung anzugeben, ob er
nach den vereinbarten Entgelten (Soll) oder nach den vereinnahmten
Entgelten (Ist) die Umsatzbesteuerung vornimmt. Dies ist vor allem
von Bedeutung für den Zeitpunkt der Entstehung der
Umsatzsteuerpflicht. Während alle buchführungspflichtigen
Unternehmen die Soll-Versteuerung anwenden, die im Rahmen einer
doppelten Buchhaltung alle Einnahmen in Form der Ausgangsrechnungen
erfassen, unabhängig von deren tatsächlicher Bezahlung innerhalb
des jeweiligen USt-Voranmeldungszeitraums, so werden durch die
Ist-Versteuerung die Einnahmen innerhalb eines
USt-Voranmelungszeitraums in Form von tatsächlich erfolgten
Geldflüssen festgestellt.</w:t>
      </w:r>
    </w:p>
    <w:p>
      <w:pPr>
        <w:numPr>
          <w:ilvl w:val="0"/>
          <w:numId w:val="2346882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Anzahlungen</w:t>
      </w:r>
      <w:r>
        <w:rPr>
          <w:rFonts w:ascii="Arial" w:hAnsi="Arial" w:eastAsia="Arial" w:cs="Arial"/>
          <w:color w:val="000000"/>
          <w:sz w:val="20"/>
          <w:szCs w:val="20"/>
        </w:rPr>
        <w:br/>
        <w:t xml:space="preserve">Da ein Soll-Versteuerer grundsätzlich nur die vereinbarten Entgelte
versteuert, muss er die in den Erlösen enthaltenen
Anzahlungsbeträge gesondert ausweisen. Durch die
Umsatzsteuerpflicht der Anzahlungsbeträge wird das System der
Soll-Versteuerung durchbrochen, da dabei ein Zahlungsstrom erfasst
wird, für den noch kein endgültig und betragsmäßig feststehendes
vereinbartes Honorar in Form einer Endrechnung vorliegt.</w:t>
      </w:r>
    </w:p>
    <w:p>
      <w:pPr>
        <w:numPr>
          <w:ilvl w:val="0"/>
          <w:numId w:val="2346882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Nettobeträge</w:t>
      </w:r>
      <w:r>
        <w:rPr>
          <w:rFonts w:ascii="Arial" w:hAnsi="Arial" w:eastAsia="Arial" w:cs="Arial"/>
          <w:color w:val="000000"/>
          <w:sz w:val="20"/>
          <w:szCs w:val="20"/>
        </w:rPr>
        <w:br/>
        <w:t xml:space="preserve">Die Angabe der Umsätze hat in Form von Nettobeträgen zu
erfolgen.</w:t>
      </w:r>
    </w:p>
    <w:p>
      <w:pPr>
        <w:numPr>
          <w:ilvl w:val="0"/>
          <w:numId w:val="2346882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Umsätze</w:t>
      </w:r>
      <w:r>
        <w:rPr>
          <w:rFonts w:ascii="Arial" w:hAnsi="Arial" w:eastAsia="Arial" w:cs="Arial"/>
          <w:color w:val="000000"/>
          <w:sz w:val="20"/>
          <w:szCs w:val="20"/>
        </w:rPr>
        <w:br/>
        <w:t xml:space="preserve">Es ist der Gesamtbetrag der Entgelte für die Lieferungen und
sonstigen Leistungen anzugeben.</w:t>
      </w:r>
      <w:r>
        <w:rPr>
          <w:rFonts w:ascii="Arial" w:hAnsi="Arial" w:eastAsia="Arial" w:cs="Arial"/>
          <w:color w:val="000000"/>
          <w:sz w:val="20"/>
          <w:szCs w:val="20"/>
        </w:rPr>
        <w:br/>
        <w:t xml:space="preserve">Die Angabe der Inlandsumsätze erfolgt
</w:t>
      </w:r>
    </w:p>
    <w:p>
      <w:pPr>
        <w:numPr>
          <w:ilvl w:val="1"/>
          <w:numId w:val="2346882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getrennt nach den anzuwendenden Steuersätzen 10 %
(10 %-Steuersatz gilt beispielsweise für die Vermietung zu
Wohnzwecken, Vermietung von Grundstücken für Campingzwecke,
Personenbeförderung, Müllabfuhr, Lieferung von Büchern, Zeitungen,
Zeitschriften, Lebensmitteln, Beherbergung in eingerichteten Wohn-
und Schlafräumen), 20 % (Standardsteuersatz), 13 %
(13 %-Steuersatz gilt beispielsweise für die Lieferung von
lebenden Tieren, lebenden Pflanzen, Brennholz, Umsätze aus der
Tätigkeit als Künstler bzw Künstlerin, Film- oder
Zirkusvorführungen, Eintrittsberechtigte für sportliche
Veranstaltungen), 19 % (ermäßigter Steuersatz in den früheren
Zollausschlussgebieten Jungholz und Mittelberg) (5 % zwischen
01.07.– 31.12.2020 hinsichtlich der begünstigten Bereiche wie etwa
bei Speisen und Getränken, Kulturdienstleistungen etc. aufgrund der
COVID-Bestimmungen) und</w:t>
      </w:r>
    </w:p>
    <w:p>
      <w:pPr>
        <w:numPr>
          <w:ilvl w:val="1"/>
          <w:numId w:val="2346882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getrennt nach den steuerpflichtigen und nach den
steuerbefreiten Umsätzen. So sind die steuerbefreiten Umsätze von
der Gesamtsumme abzuziehen, jeweils getrennt nach den Ziffern der
Steuerbefreiungstatbestände, zB § 6 Z 27 UStG
Kleinunternehmer.</w:t>
      </w:r>
    </w:p>
    <w:p>
      <w:pPr>
        <w:numPr>
          <w:ilvl w:val="0"/>
          <w:numId w:val="2346882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Angabe der Auslandsumsätze erfolgt
</w:t>
      </w:r>
    </w:p>
    <w:p>
      <w:pPr>
        <w:numPr>
          <w:ilvl w:val="1"/>
          <w:numId w:val="2346882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getrennt nach den Ausfuhren in das Drittlandsgebiet, die echt
steuerbefreit sind, und</w:t>
      </w:r>
    </w:p>
    <w:p>
      <w:pPr>
        <w:numPr>
          <w:ilvl w:val="1"/>
          <w:numId w:val="2346882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getrennt nach den innergemeinschaftlichen Ausfuhrlieferungen,
die ebenfalls steuerbefreit sind.</w:t>
      </w:r>
    </w:p>
    <w:p>
      <w:pPr>
        <w:numPr>
          <w:ilvl w:val="1"/>
          <w:numId w:val="2346882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Ebenfalls zu den steuerpflichtigen Umsätzen zählen die
innergemeinschaftlichen Erwerbe. Sie sind getrennt von den anderen
Umsätzen anzuführen. Diese unterliegen der Erwerbsteuer, die den
Unternehmer gleichzeitig zum Vorsteuerabzug berechtigt.</w:t>
      </w:r>
    </w:p>
    <w:p>
      <w:pPr>
        <w:numPr>
          <w:ilvl w:val="0"/>
          <w:numId w:val="2346882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Eigenverbrauch</w:t>
      </w:r>
      <w:r>
        <w:rPr>
          <w:rFonts w:ascii="Arial" w:hAnsi="Arial" w:eastAsia="Arial" w:cs="Arial"/>
          <w:color w:val="000000"/>
          <w:sz w:val="20"/>
          <w:szCs w:val="20"/>
        </w:rPr>
        <w:br/>
        <w:t xml:space="preserve">Neben den Erlösen sind auch die Tatbestände des Eigenverbrauchs der
Bemessungsgrundlage hinzuzurechnen. Die Eigenverbrauchsbesteuerung
erfolgt grundsätzlich nur dann, wenn der Gegenstand zu einem vollen
oder teilweisen Vorsteuerabzug berechtigt hat.</w:t>
      </w:r>
    </w:p>
    <w:p>
      <w:pPr>
        <w:numPr>
          <w:ilvl w:val="0"/>
          <w:numId w:val="2346882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Summe</w:t>
      </w:r>
      <w:r>
        <w:rPr>
          <w:rFonts w:ascii="Arial" w:hAnsi="Arial" w:eastAsia="Arial" w:cs="Arial"/>
          <w:color w:val="000000"/>
          <w:sz w:val="20"/>
          <w:szCs w:val="20"/>
        </w:rPr>
        <w:br/>
        <w:t xml:space="preserve">Die Umsätze aus dem In- und Ausland und die innergemeinschaftlichen
Erwerbe werden summiert. Sie bilden die Bemessungsgrundlage und die
Grundlage für die rechnerische Umsatzsteuerverprobung (Instrument
zur Überprüfung der Umsatzsteuer, gibt darüber Aufschluss auf die
Korrektheit der Buchführung).</w:t>
      </w:r>
    </w:p>
    <w:p>
      <w:pPr>
        <w:numPr>
          <w:ilvl w:val="0"/>
          <w:numId w:val="2346882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Umsatzsteuerbeträge</w:t>
      </w:r>
      <w:r>
        <w:rPr>
          <w:rFonts w:ascii="Arial" w:hAnsi="Arial" w:eastAsia="Arial" w:cs="Arial"/>
          <w:color w:val="000000"/>
          <w:sz w:val="20"/>
          <w:szCs w:val="20"/>
        </w:rPr>
        <w:br/>
        <w:t xml:space="preserve">Die für die genannten Umsätze geschuldeten Umsatzsteuerbeträge
werden in einer eigenen Spalte dargestellt und summiert.</w:t>
      </w:r>
    </w:p>
    <w:p>
      <w:pPr>
        <w:widowControl w:val="on"/>
        <w:pBdr/>
        <w:spacing w:before="140" w:after="240" w:line="288" w:lineRule="auto"/>
        <w:ind w:left="0" w:right="0"/>
        <w:jc w:val="left"/>
      </w:pPr>
      <w:r>
        <w:rPr>
          <w:rFonts w:ascii="Arial" w:hAnsi="Arial" w:eastAsia="Arial" w:cs="Arial"/>
          <w:color w:val="000000"/>
          <w:sz w:val="20"/>
          <w:szCs w:val="20"/>
        </w:rPr>
        <w:t xml:space="preserve">Von den aus den Umsätzen errechneten Umsatzsteuerbeträgen werden
abgezogen innerhalb des USt-Voranmeldungszeitraums angefallene</w:t>
      </w:r>
    </w:p>
    <w:p>
      <w:pPr>
        <w:numPr>
          <w:ilvl w:val="0"/>
          <w:numId w:val="9571515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Vorsteuern</w:t>
      </w:r>
      <w:r>
        <w:rPr>
          <w:rFonts w:ascii="Arial" w:hAnsi="Arial" w:eastAsia="Arial" w:cs="Arial"/>
          <w:color w:val="000000"/>
          <w:sz w:val="20"/>
          <w:szCs w:val="20"/>
        </w:rPr>
        <w:br/>
        <w:t xml:space="preserve">Dazu gehören die
</w:t>
      </w:r>
    </w:p>
    <w:p>
      <w:pPr>
        <w:numPr>
          <w:ilvl w:val="1"/>
          <w:numId w:val="9571515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Summe der aus den Vorleistungen für das Unternehmen errechneten
Steuerbeträge,</w:t>
      </w:r>
    </w:p>
    <w:p>
      <w:pPr>
        <w:numPr>
          <w:ilvl w:val="1"/>
          <w:numId w:val="9571515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Summe der Einfuhrumsatzsteuern,</w:t>
      </w:r>
    </w:p>
    <w:p>
      <w:pPr>
        <w:numPr>
          <w:ilvl w:val="1"/>
          <w:numId w:val="9571515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Summe der Vorsteuern aus innergemeinschaftlichen Erwerben
und</w:t>
      </w:r>
    </w:p>
    <w:p>
      <w:pPr>
        <w:numPr>
          <w:ilvl w:val="1"/>
          <w:numId w:val="9571515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Summe der Vorsteuern aus der Anwendung des Reverse Charge
Systems.</w:t>
      </w:r>
    </w:p>
    <w:p>
      <w:pPr>
        <w:widowControl w:val="on"/>
        <w:pBdr/>
        <w:spacing w:before="140" w:after="240" w:line="288" w:lineRule="auto"/>
        <w:ind w:left="0" w:right="0"/>
        <w:jc w:val="left"/>
      </w:pPr>
      <w:r>
        <w:rPr>
          <w:rFonts w:ascii="Arial" w:hAnsi="Arial" w:eastAsia="Arial" w:cs="Arial"/>
          <w:color w:val="000000"/>
          <w:sz w:val="20"/>
          <w:szCs w:val="20"/>
        </w:rPr>
        <w:t xml:space="preserve">Es sind die im USt-Voranmeldungszeitraum angefallenen Änderungen
der Bemessungsgrundlage darzustellen als</w:t>
      </w:r>
    </w:p>
    <w:p>
      <w:pPr>
        <w:numPr>
          <w:ilvl w:val="0"/>
          <w:numId w:val="646493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Berichtigungen</w:t>
      </w:r>
      <w:r>
        <w:rPr>
          <w:rFonts w:ascii="Arial" w:hAnsi="Arial" w:eastAsia="Arial" w:cs="Arial"/>
          <w:color w:val="000000"/>
          <w:sz w:val="20"/>
          <w:szCs w:val="20"/>
        </w:rPr>
        <w:br/>
        <w:t xml:space="preserve">Dazu gehören der nachträgliche Wegfall oder die Reduktion einer
geschuldeten Umsatzsteuer, zB durch einen Forderungsverlust,
Rabatte, Skonti oder Boni. Die Umsatzsteuervoranmeldung kann bis zu
einer Festsetzung für den eingegebenen Zeitraum durch die
Finanzverwaltung oder bis zur Veranlagung der Umsatzsteuererklärung
für das betreffende Jahr berichtigt werden. Es ist nur eine
berichtigte UVA pro Zeitraum zulässig.</w:t>
      </w:r>
    </w:p>
    <w:p>
      <w:pPr>
        <w:numPr>
          <w:ilvl w:val="0"/>
          <w:numId w:val="646493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Berichtigung von Umsatzsteuervoranmeldungen
(Vorauszahlungen) durch Abgabe einer richtigen
Umsatzsteuerjahreserklärung gilt grundsätzlich als (konkludente)
Selbstanzeige. Dabei bedarf es keiner Zuordnung der
Verkürzungsbeträge zu den einzelnen davon betroffenen
Voranmeldungszeiträumen (§ 29 Abs 7 FinStrG).</w:t>
      </w:r>
    </w:p>
    <w:p>
      <w:pPr>
        <w:numPr>
          <w:ilvl w:val="0"/>
          <w:numId w:val="646493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Abzug der Vorsteuerbeträge von den geschuldeten
Umsatzsteuerbeträgen ergibt sich für den USt-Voranmeldungszeitraum
entweder
</w:t>
      </w:r>
    </w:p>
    <w:p>
      <w:pPr>
        <w:numPr>
          <w:ilvl w:val="1"/>
          <w:numId w:val="646493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USt-Zahllast (USt-Schuld) oder</w:t>
      </w:r>
    </w:p>
    <w:p>
      <w:pPr>
        <w:numPr>
          <w:ilvl w:val="1"/>
          <w:numId w:val="646493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Guthaben (USt-Gutschrift).</w:t>
      </w:r>
    </w:p>
    <w:p>
      <w:pPr>
        <w:numPr>
          <w:ilvl w:val="0"/>
          <w:numId w:val="646493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Jahresumsatzsteuererklärung</w:t>
      </w:r>
    </w:p>
    <w:p>
      <w:pPr>
        <w:numPr>
          <w:ilvl w:val="0"/>
          <w:numId w:val="646493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Berichtigung der Umsatzsteuer im Zuge der Jahreserklärung
ist grundsätzlich einer (konkludenten) Selbstanzeige
gleichzusetzen, die jedoch nur dann eine strafbefreiende Wirkung
entfalten kann, wenn sämtliche in § 29 FinStrG normierten
Voraussetzungen, besonders auch die dort vorgesehenen
Zahlungsfristen, eingehalten werden.</w:t>
      </w:r>
      <w:r>
        <w:rPr>
          <w:rFonts w:ascii="Arial" w:hAnsi="Arial" w:eastAsia="Arial" w:cs="Arial"/>
          <w:color w:val="000000"/>
          <w:sz w:val="20"/>
          <w:szCs w:val="20"/>
        </w:rPr>
        <w:br/>
        <w:t xml:space="preserve">Straffreiheit tritt grundsätzlich ein, wer sich eines
Finanzvergehens schuldig gemacht hat, als er seine Verfehlung
darlegt. Die Darlegung hat gegenüber einem Finanzamt oder dem Amt
für Betrugsbekämpfung zu erfolgen. Sie ist bei Betretung auf
frischer Tat ausgeschlossen. War mit einer Verfehlung eine
Abgabenverkürzung oder ein sonstiger Einnahmenausfall verbunden, so
tritt die Straffreiheit nur insoweit ein, als der Behörde ohne
Verzug die für die Feststellung der Verkürzung oder des Ausfalls
bedeutsamen Umstände offen gelegt werden, und binnen einer Frist
von einem Monat die sich daraus ergebenden Beträge, die vom
Anzeiger geschuldet werden, oder für die er zur Haftung
herangezogen werden kann, tatsächlich mit schuldbefreiender Wirkung
entrichtet werden.</w:t>
      </w:r>
    </w:p>
    <w:p>
      <w:pPr>
        <w:widowControl w:val="on"/>
        <w:pBdr/>
        <w:spacing w:before="140" w:after="240" w:line="288" w:lineRule="auto"/>
        <w:ind w:left="0" w:right="0"/>
        <w:jc w:val="left"/>
      </w:pPr>
      <w:r>
        <w:rPr>
          <w:rFonts w:ascii="Arial" w:hAnsi="Arial" w:eastAsia="Arial" w:cs="Arial"/>
          <w:color w:val="000000"/>
          <w:sz w:val="20"/>
          <w:szCs w:val="20"/>
        </w:rPr>
        <w:t xml:space="preserve">Neben der monatlichen oder quartalsweisen Meldung der
Umsatzsteuerzahllast ist einmal jährlich anlässlich der Veranlagung
des Unternehmers zur Einkommensteuer gleichzeitig die
Jahresumsatzsteuer zu veranlagen. Zu diesem Zweck hat der
Unternehmer eine Jahresumsatzsteuererklärung abzugeben. Diese
Erklärung bildet die Grundlage für die Veranlagung der Umsatzsteuer
eines Kalenderjahres oder abweichenden Wirtschaftsjahres.</w:t>
      </w:r>
    </w:p>
    <w:p>
      <w:pPr>
        <w:widowControl w:val="on"/>
        <w:pBdr/>
        <w:spacing w:before="140" w:after="240" w:line="288" w:lineRule="auto"/>
        <w:ind w:left="0" w:right="0"/>
        <w:jc w:val="left"/>
      </w:pPr>
      <w:r>
        <w:rPr>
          <w:rFonts w:ascii="Arial" w:hAnsi="Arial" w:eastAsia="Arial" w:cs="Arial"/>
          <w:color w:val="000000"/>
          <w:sz w:val="20"/>
          <w:szCs w:val="20"/>
        </w:rPr>
        <w:t xml:space="preserve">Darin werden die Jahresumsätze und die Vorsteuern, die innerhalb
des betreffenden Jahres angefallen sind, entsprechend der zuvor
dargestellten Gliederung angegeben. Im Idealfall müssen sowohl die
Summe der Jahresumsätze als auch die Summe der Vorsteuern genau
jenen Summen entsprechen, die sich aus den einzelnen für das Jahr
abgegebenen USt-Voranmeldungen ergeben. Eine Abweichung sollte nur
im Bereich der Berichtigungen auftreten, denn in diesem Bereich ist
eine nachträgliche Veränderung jederzeit möglich und denkbar.</w:t>
      </w:r>
    </w:p>
    <w:p>
      <w:pPr>
        <w:numPr>
          <w:ilvl w:val="0"/>
          <w:numId w:val="54045407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Zusammenfassende Meldung</w:t>
      </w:r>
      <w:r>
        <w:rPr>
          <w:rFonts w:ascii="Arial" w:hAnsi="Arial" w:eastAsia="Arial" w:cs="Arial"/>
          <w:color w:val="000000"/>
          <w:sz w:val="20"/>
          <w:szCs w:val="20"/>
        </w:rPr>
        <w:br/>
        <w:t xml:space="preserve">Der Unternehmer hat neben der innerstaatlich durchzuführenden
USt-Voranmeldung zusätzlich eine Meldung vorzunehmen
</w:t>
      </w:r>
    </w:p>
    <w:p>
      <w:pPr>
        <w:numPr>
          <w:ilvl w:val="1"/>
          <w:numId w:val="54045407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quartalsweise,</w:t>
      </w:r>
    </w:p>
    <w:p>
      <w:pPr>
        <w:numPr>
          <w:ilvl w:val="1"/>
          <w:numId w:val="54045407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zur Erfassung von innergemeinschaftlichen Lieferungen,</w:t>
      </w:r>
    </w:p>
    <w:p>
      <w:pPr>
        <w:numPr>
          <w:ilvl w:val="1"/>
          <w:numId w:val="54045407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zur Erfassung von innergemeinschaftlichen Verbringungen
(Innenumsätze),</w:t>
      </w:r>
    </w:p>
    <w:p>
      <w:pPr>
        <w:numPr>
          <w:ilvl w:val="1"/>
          <w:numId w:val="54045407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zur Erfassung von funktionsändernden Werkleistungen,</w:t>
      </w:r>
    </w:p>
    <w:p>
      <w:pPr>
        <w:numPr>
          <w:ilvl w:val="1"/>
          <w:numId w:val="54045407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zur Erfassung von Dreiecksgeschäften,</w:t>
      </w:r>
    </w:p>
    <w:p>
      <w:pPr>
        <w:numPr>
          <w:ilvl w:val="1"/>
          <w:numId w:val="54045407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innerhalb des Binnenmarktsgebiets,</w:t>
      </w:r>
    </w:p>
    <w:p>
      <w:pPr>
        <w:numPr>
          <w:ilvl w:val="1"/>
          <w:numId w:val="54045407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zwischen Unternehmern</w:t>
      </w:r>
    </w:p>
    <w:p>
      <w:pPr>
        <w:numPr>
          <w:ilvl w:val="1"/>
          <w:numId w:val="54045407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oder mit einer Betriebsstätte, die sich in einem anderen
EU-Mitgliedstaat befindet.</w:t>
      </w:r>
    </w:p>
    <w:p>
      <w:pPr>
        <w:numPr>
          <w:ilvl w:val="0"/>
          <w:numId w:val="54045407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Anzugeben sind jeweils neben der Art der erbrachten Leistungen
</w:t>
      </w:r>
    </w:p>
    <w:p>
      <w:pPr>
        <w:numPr>
          <w:ilvl w:val="1"/>
          <w:numId w:val="54045407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eigene UID-Nummer,</w:t>
      </w:r>
    </w:p>
    <w:p>
      <w:pPr>
        <w:numPr>
          <w:ilvl w:val="1"/>
          <w:numId w:val="54045407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UID-Nummer des anderen an dem Vorgang beteiligten
Unternehmers und</w:t>
      </w:r>
    </w:p>
    <w:p>
      <w:pPr>
        <w:numPr>
          <w:ilvl w:val="1"/>
          <w:numId w:val="54045407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Bemessungsgrundlage für den Vorgang. Sollte sich diese
Bemessungsgrundlage nachträglich ändern, dann ist auch dies zu
melden.</w:t>
      </w:r>
    </w:p>
    <w:p>
      <w:pPr>
        <w:widowControl w:val="on"/>
        <w:pBdr/>
        <w:spacing w:before="140" w:after="240" w:line="288" w:lineRule="auto"/>
        <w:ind w:left="0" w:right="0"/>
        <w:jc w:val="left"/>
      </w:pPr>
      <w:r>
        <w:rPr>
          <w:rFonts w:ascii="Arial" w:hAnsi="Arial" w:eastAsia="Arial" w:cs="Arial"/>
          <w:color w:val="000000"/>
          <w:sz w:val="20"/>
          <w:szCs w:val="20"/>
        </w:rPr>
        <w:t xml:space="preserve">Die Zusammenfassende Meldung gilt als Steuererklärung.</w:t>
      </w:r>
    </w:p>
    <w:p>
      <w:pPr>
        <w:widowControl w:val="on"/>
        <w:pBdr/>
        <w:spacing w:before="140" w:after="240" w:line="288" w:lineRule="auto"/>
        <w:ind w:left="0" w:right="0"/>
        <w:jc w:val="left"/>
      </w:pPr>
      <w:r>
        <w:rPr>
          <w:rFonts w:ascii="Arial" w:hAnsi="Arial" w:eastAsia="Arial" w:cs="Arial"/>
          <w:color w:val="000000"/>
          <w:sz w:val="20"/>
          <w:szCs w:val="20"/>
        </w:rPr>
        <w:t xml:space="preserve">Es ist zu beachten, dass Rechnungen, die einen Unternehmer zum
Vorsteuerabzug berechtigen sollen, eine erweiterte Anzahl von
wesentlichen Rechnungsmerkmalen enthalten müssen. Es ist daher
wichtig, die Formularvordrucke, die in geschäftlichen Beziehungen
im Unternehmensbereich verwendet werden, genau darauf zu
überprüfen, ob sie die gesetzlich geforderten Mindestmerkmale
enthalten und diese gegebenenfalls anzupassen oder korrigieren zu
lassen.</w:t>
      </w:r>
    </w:p>
    <w:p>
      <w:pPr>
        <w:widowControl w:val="on"/>
        <w:pBdr/>
        <w:spacing w:before="140" w:after="240" w:line="288" w:lineRule="auto"/>
        <w:ind w:left="0" w:right="0"/>
        <w:jc w:val="left"/>
      </w:pPr>
      <w:r>
        <w:rPr>
          <w:rFonts w:ascii="Arial" w:hAnsi="Arial" w:eastAsia="Arial" w:cs="Arial"/>
          <w:color w:val="000000"/>
          <w:sz w:val="20"/>
          <w:szCs w:val="20"/>
        </w:rPr>
        <w:t xml:space="preserve">Ausgangsrechnungen müssen enthalten (§ 11 Abs 1
Z 3 UStG):</w:t>
      </w:r>
    </w:p>
    <w:p>
      <w:pPr>
        <w:numPr>
          <w:ilvl w:val="0"/>
          <w:numId w:val="722467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Name und Anschrift des liefernden oder leistenden
Unternehmers,</w:t>
      </w:r>
    </w:p>
    <w:p>
      <w:pPr>
        <w:numPr>
          <w:ilvl w:val="0"/>
          <w:numId w:val="722467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Name und Anschrift des Abnehmers der Lieferung oder des
Empfängers der sonstigen Leistung,</w:t>
      </w:r>
    </w:p>
    <w:p>
      <w:pPr>
        <w:numPr>
          <w:ilvl w:val="0"/>
          <w:numId w:val="722467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Rechnungen, deren Gesamtbetrag EUR 10.000,–
übersteigt, ist weiters die dem Leistungsempfänger vom Finanzamt
erteilte Umsatzsteuer-Identifikationsnummer anzugeben, wenn der
leistende Unternehmer im Inland einen Wohnsitz (Sitz), seinen
gewöhnlichen Aufenthalt oder eine Betriebsstätte hat und der Umsatz
an einen anderen Unternehmer für dessen Unternehmen ausgeführt
wird.</w:t>
      </w:r>
    </w:p>
    <w:p>
      <w:pPr>
        <w:numPr>
          <w:ilvl w:val="0"/>
          <w:numId w:val="722467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Menge und die handelsübliche Bezeichnung der gelieferten
Gegenstände oder die Art und den Umfang der sonstigen
Leistung,</w:t>
      </w:r>
    </w:p>
    <w:p>
      <w:pPr>
        <w:numPr>
          <w:ilvl w:val="0"/>
          <w:numId w:val="722467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Tag der Lieferung oder sonstigen Leistung oder den Zeitraum,
über den sich die sonstige Leistung erstreckt, bei Lieferungen oder
sonstigen Leistungen, die abschnittsweise abgerechnet werden
(beispielsweise Lebensmittellieferungen) genügt die Angabe des
Abrechnungszeitraumes, soweit dieser einen Kalendermonat nicht
übersteigt,</w:t>
      </w:r>
    </w:p>
    <w:p>
      <w:pPr>
        <w:numPr>
          <w:ilvl w:val="0"/>
          <w:numId w:val="722467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Entgelt,</w:t>
      </w:r>
    </w:p>
    <w:p>
      <w:pPr>
        <w:numPr>
          <w:ilvl w:val="0"/>
          <w:numId w:val="722467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auf das Entgelt entfallenden Steuerbetrag sowie den
Steuersatz (im Falle einer Steuerbefreiung einen Hinweis, dass für
diese Lieferung oder sonstige Leistung eine Steuerbefreiung gilt).
Wird die Rechnung in einer anderen Währung als Euro ausgestellt,
ist der Steuerbetrag nach Anwendung einer dem § 20 Abs 6
UStG entsprechenden Umrechnungsmethode zusätzlich in Euro
anzugeben. Steht der Betrag in Euro im Zeitpunkt der
Rechnungsausstellung noch nicht fest, hat der Unternehmer
nachvollziehbar anzugeben, welche Umrechnungsmethode
gem § 20 Abs 6 UStG angewendet wird,</w:t>
      </w:r>
    </w:p>
    <w:p>
      <w:pPr>
        <w:numPr>
          <w:ilvl w:val="0"/>
          <w:numId w:val="722467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Ausstellungsdatum,</w:t>
      </w:r>
    </w:p>
    <w:p>
      <w:pPr>
        <w:numPr>
          <w:ilvl w:val="0"/>
          <w:numId w:val="722467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fortlaufende Nummer mit einer oder mehreren Zahlenreihen,
die zur Identifizierung der Rechnung einmalig vergeben wird,</w:t>
      </w:r>
    </w:p>
    <w:p>
      <w:pPr>
        <w:numPr>
          <w:ilvl w:val="0"/>
          <w:numId w:val="722467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soweit der Unternehmer im Inland Lieferungen oder sonstige
Leistungen erbringt, für die das Recht auf Vorsteuerabzug besteht,
die Umsatzsteuer-Identifikationsnummer</w:t>
      </w:r>
    </w:p>
    <w:p>
      <w:pPr>
        <w:numPr>
          <w:ilvl w:val="0"/>
          <w:numId w:val="722467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Rechnungen mit einem Rechnungsbetrag über
EUR 10.000,–) UID-Nummer des Abnehmers der Lieferung oder des
Empfängers der sonstigen Leistung.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46752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40454077">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4649314">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57151572">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34688290">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2219564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5909499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9752995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13817584">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3298857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6256742">
    <w:multiLevelType w:val="hybridMultilevel"/>
    <w:lvl w:ilvl="0" w:tplc="69416295">
      <w:start w:val="1"/>
      <w:numFmt w:val="decimal"/>
      <w:lvlText w:val="%1."/>
      <w:lvlJc w:val="left"/>
      <w:pPr>
        <w:ind w:left="720" w:hanging="360"/>
      </w:pPr>
    </w:lvl>
    <w:lvl w:ilvl="1" w:tplc="69416295" w:tentative="1">
      <w:start w:val="1"/>
      <w:numFmt w:val="lowerLetter"/>
      <w:lvlText w:val="%2."/>
      <w:lvlJc w:val="left"/>
      <w:pPr>
        <w:ind w:left="1440" w:hanging="360"/>
      </w:pPr>
    </w:lvl>
    <w:lvl w:ilvl="2" w:tplc="69416295" w:tentative="1">
      <w:start w:val="1"/>
      <w:numFmt w:val="lowerRoman"/>
      <w:lvlText w:val="%3."/>
      <w:lvlJc w:val="right"/>
      <w:pPr>
        <w:ind w:left="2160" w:hanging="180"/>
      </w:pPr>
    </w:lvl>
    <w:lvl w:ilvl="3" w:tplc="69416295" w:tentative="1">
      <w:start w:val="1"/>
      <w:numFmt w:val="decimal"/>
      <w:lvlText w:val="%4."/>
      <w:lvlJc w:val="left"/>
      <w:pPr>
        <w:ind w:left="2880" w:hanging="360"/>
      </w:pPr>
    </w:lvl>
    <w:lvl w:ilvl="4" w:tplc="69416295" w:tentative="1">
      <w:start w:val="1"/>
      <w:numFmt w:val="lowerLetter"/>
      <w:lvlText w:val="%5."/>
      <w:lvlJc w:val="left"/>
      <w:pPr>
        <w:ind w:left="3600" w:hanging="360"/>
      </w:pPr>
    </w:lvl>
    <w:lvl w:ilvl="5" w:tplc="69416295" w:tentative="1">
      <w:start w:val="1"/>
      <w:numFmt w:val="lowerRoman"/>
      <w:lvlText w:val="%6."/>
      <w:lvlJc w:val="right"/>
      <w:pPr>
        <w:ind w:left="4320" w:hanging="180"/>
      </w:pPr>
    </w:lvl>
    <w:lvl w:ilvl="6" w:tplc="69416295" w:tentative="1">
      <w:start w:val="1"/>
      <w:numFmt w:val="decimal"/>
      <w:lvlText w:val="%7."/>
      <w:lvlJc w:val="left"/>
      <w:pPr>
        <w:ind w:left="5040" w:hanging="360"/>
      </w:pPr>
    </w:lvl>
    <w:lvl w:ilvl="7" w:tplc="69416295" w:tentative="1">
      <w:start w:val="1"/>
      <w:numFmt w:val="lowerLetter"/>
      <w:lvlText w:val="%8."/>
      <w:lvlJc w:val="left"/>
      <w:pPr>
        <w:ind w:left="5760" w:hanging="360"/>
      </w:pPr>
    </w:lvl>
    <w:lvl w:ilvl="8" w:tplc="69416295" w:tentative="1">
      <w:start w:val="1"/>
      <w:numFmt w:val="lowerRoman"/>
      <w:lvlText w:val="%9."/>
      <w:lvlJc w:val="right"/>
      <w:pPr>
        <w:ind w:left="6480" w:hanging="180"/>
      </w:pPr>
    </w:lvl>
  </w:abstractNum>
  <w:abstractNum w:abstractNumId="36256741">
    <w:multiLevelType w:val="hybridMultilevel"/>
    <w:lvl w:ilvl="0" w:tplc="786489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56741">
    <w:abstractNumId w:val="36256741"/>
  </w:num>
  <w:num w:numId="36256742">
    <w:abstractNumId w:val="36256742"/>
  </w:num>
  <w:num w:numId="332988579">
    <w:abstractNumId w:val="332988579"/>
  </w:num>
  <w:num w:numId="213817584">
    <w:abstractNumId w:val="213817584"/>
  </w:num>
  <w:num w:numId="597529956">
    <w:abstractNumId w:val="597529956"/>
  </w:num>
  <w:num w:numId="959094990">
    <w:abstractNumId w:val="959094990"/>
  </w:num>
  <w:num w:numId="822195644">
    <w:abstractNumId w:val="822195644"/>
  </w:num>
  <w:num w:numId="234688290">
    <w:abstractNumId w:val="234688290"/>
  </w:num>
  <w:num w:numId="957151572">
    <w:abstractNumId w:val="957151572"/>
  </w:num>
  <w:num w:numId="64649314">
    <w:abstractNumId w:val="64649314"/>
  </w:num>
  <w:num w:numId="540454077">
    <w:abstractNumId w:val="540454077"/>
  </w:num>
  <w:num w:numId="722467522">
    <w:abstractNumId w:val="7224675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34994034" Type="http://schemas.openxmlformats.org/officeDocument/2006/relationships/numbering" Target="numbering.xml"/><Relationship Id="rId96597051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