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8476197" w:name="document"/>
    <w:bookmarkEnd w:id="88476197"/>
    <w:p/>
    <w:p>
      <w:pPr>
        <w:widowControl w:val="on"/>
        <w:pBdr/>
        <w:spacing w:before="0" w:after="280" w:line="240" w:lineRule="auto"/>
        <w:ind w:left="0" w:right="0"/>
        <w:jc w:val="left"/>
      </w:pPr>
      <w:r>
        <w:rPr>
          <w:rFonts w:ascii="Arial" w:hAnsi="Arial" w:eastAsia="Arial" w:cs="Arial"/>
          <w:color w:val="363A40"/>
          <w:sz w:val="24"/>
          <w:szCs w:val="24"/>
        </w:rPr>
        <w:t xml:space="preserve">Dokument-ID: 1085120 | Alexander Kdolsky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Bescheidbeschwerde iZm Immobilienertragsteuer und
Berechnungsgrundlage gem § 30 Abs 3 und 4 EStG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b/>
          <w:bCs/>
          <w:color w:val="000000"/>
          <w:sz w:val="20"/>
          <w:szCs w:val="20"/>
        </w:rPr>
        <w:br/>
        <w:t xml:space="preserve">Immobilienertragsteuer:</w:t>
      </w:r>
      <w:r>
        <w:rPr>
          <w:rFonts w:ascii="Arial" w:hAnsi="Arial" w:eastAsia="Arial" w:cs="Arial"/>
          <w:color w:val="000000"/>
          <w:sz w:val="20"/>
          <w:szCs w:val="20"/>
        </w:rPr>
        <w:br/>
        <w:t xml:space="preserve">Der Einkommensteuer unterliegen (nur) die in § 2 Abs 3
EStG genannten sieben Einkunftsarten. Sonstige Einkünfte (§ 2
Abs 3 Z 7 EStG) sind gem § 29 Z 2 EStG unter
anderem Einkünfte aus privaten Grundstücksveräußerungen, die der in
den §§ 30 bis 30c EStG geregelten, dem Grunde nach durch das
1. StabG 2012 (BGBl I 22/2012) eingeführten,
Immobilienertragsteuer (als Erhebungsform der Einkommensteuer, vgl
VwGH 03.09.2019, Ro 2019/15/0016) unterliegen.</w:t>
      </w:r>
    </w:p>
    <w:p>
      <w:pPr>
        <w:widowControl w:val="on"/>
        <w:pBdr/>
        <w:spacing w:before="140" w:after="240" w:line="288" w:lineRule="auto"/>
        <w:ind w:left="0" w:right="0"/>
        <w:jc w:val="left"/>
      </w:pPr>
      <w:r>
        <w:rPr>
          <w:rFonts w:ascii="Arial" w:hAnsi="Arial" w:eastAsia="Arial" w:cs="Arial"/>
          <w:color w:val="000000"/>
          <w:sz w:val="20"/>
          <w:szCs w:val="20"/>
        </w:rPr>
        <w:t xml:space="preserve">Die leg cit haben auch für betriebliche Grundstücksveräußerungen
Bedeutung (vgl § 30a Abs 3 EStG); Gegenstand dieses
Musters ist jedoch die Veräußerung eines privaten, dh keinem
Betriebsvermögen angehörenden Grundstücks. Der Begriff des
Grundstückes umfasst neben dem Grund und Boden auch Gebäude und
grundstücksgleiche Rechte (Baurecht). Bei unentgeltlich erworbenen
Grundstücken ist auf den Anschaffungszeitpunkt des Rechtsvorgängers
abzustellen (§ 30 Abs 1 EStG).</w:t>
      </w:r>
    </w:p>
    <w:p>
      <w:pPr>
        <w:widowControl w:val="on"/>
        <w:pBdr/>
        <w:spacing w:before="140" w:after="240" w:line="288" w:lineRule="auto"/>
        <w:ind w:left="0" w:right="0"/>
        <w:jc w:val="left"/>
      </w:pPr>
      <w:r>
        <w:rPr>
          <w:rFonts w:ascii="Arial" w:hAnsi="Arial" w:eastAsia="Arial" w:cs="Arial"/>
          <w:color w:val="000000"/>
          <w:sz w:val="20"/>
          <w:szCs w:val="20"/>
        </w:rPr>
        <w:t xml:space="preserve">§ 30 Abs 2 EStG normiert mehrere Steuerbefreiungen.
Zur Hauptwohnsitz- und Herstellerbefreiung (Z 1 und 2 leg cit)
siehe das Muster zur Bescheidbeschwerde iZm Immobilienertragsteuer
und Hauptwohnsitz- und Herstellerbefreiung gem § 30 Abs 2
Z 1 und 2 EStG.</w:t>
      </w:r>
    </w:p>
    <w:p>
      <w:pPr>
        <w:widowControl w:val="on"/>
        <w:pBdr/>
        <w:spacing w:before="140" w:after="240" w:line="288" w:lineRule="auto"/>
        <w:ind w:left="0" w:right="0"/>
        <w:jc w:val="left"/>
      </w:pPr>
      <w:r>
        <w:rPr>
          <w:rFonts w:ascii="Arial" w:hAnsi="Arial" w:eastAsia="Arial" w:cs="Arial"/>
          <w:b/>
          <w:bCs/>
          <w:color w:val="000000"/>
          <w:sz w:val="20"/>
          <w:szCs w:val="20"/>
        </w:rPr>
        <w:t xml:space="preserve">Berechnungsgrundlage, Steuersatz, Selbstberechnung,
Abgeltung:</w:t>
      </w:r>
      <w:r>
        <w:rPr>
          <w:rFonts w:ascii="Arial" w:hAnsi="Arial" w:eastAsia="Arial" w:cs="Arial"/>
          <w:color w:val="000000"/>
          <w:sz w:val="20"/>
          <w:szCs w:val="20"/>
        </w:rPr>
        <w:br/>
        <w:t xml:space="preserve">Als Einkünfte, die der Immobilienertragsteuer unterliegen, ist
prinzipiell der Unterschiedsbetrag zwischen dem Veräußerungserlös
und den Anschaffungskosten (also der Gewinn) anzusetzen, wobei
gewisse Beträge hinzuzurechnen und andere abzuziehen sind (vgl
§ 30 Abs 3 EStG, Regeleinkünfteermittlung). Dies
entsprach auch der Rechtslage vor dem 1. StabG 2012 (vgl § 30
Abs 4 EStG aF).</w:t>
      </w:r>
    </w:p>
    <w:p>
      <w:pPr>
        <w:widowControl w:val="on"/>
        <w:pBdr/>
        <w:spacing w:before="140" w:after="240" w:line="288" w:lineRule="auto"/>
        <w:ind w:left="0" w:right="0"/>
        <w:jc w:val="left"/>
      </w:pPr>
      <w:r>
        <w:rPr>
          <w:rFonts w:ascii="Arial" w:hAnsi="Arial" w:eastAsia="Arial" w:cs="Arial"/>
          <w:color w:val="000000"/>
          <w:sz w:val="20"/>
          <w:szCs w:val="20"/>
        </w:rPr>
        <w:t xml:space="preserve">Im Fall einer nach dem 31. Dezember 2024 erfolgten Umwidmung
sind bei Grundstücksveräußerungen nach dem 30. Juni 2025 die
positiven Einkünfte um einen Umwidmungszuschlag von 30 % zu
erhöhen, soweit die Summe aus positiven Einkünften und
Umwidmungszuschlag den Veräußerungserlös nicht übersteigt (vgl
§ 30 Abs 6a EStG idF Budgetbegleitgesetz 2025).</w:t>
      </w:r>
    </w:p>
    <w:p>
      <w:pPr>
        <w:widowControl w:val="on"/>
        <w:pBdr/>
        <w:spacing w:before="140" w:after="240" w:line="288" w:lineRule="auto"/>
        <w:ind w:left="0" w:right="0"/>
        <w:jc w:val="left"/>
      </w:pPr>
      <w:r>
        <w:rPr>
          <w:rFonts w:ascii="Arial" w:hAnsi="Arial" w:eastAsia="Arial" w:cs="Arial"/>
          <w:color w:val="000000"/>
          <w:sz w:val="20"/>
          <w:szCs w:val="20"/>
        </w:rPr>
        <w:t xml:space="preserve">Sofern nicht zur Regelbesteuerung (= allgemeiner Steuertarif)
optiert wird (Regelbesteuerungsoption), ist auf die
Berechnungsgrundlage (dh, den Gewinn) ein besonderer Steuersatz von
30 % anzuwenden und sind die Einkünfte bei der Berechnung der
Einkommensteuer nicht zu berücksichtigen (§ 30a Abs 1 und
2 EStG).</w:t>
      </w:r>
    </w:p>
    <w:p>
      <w:pPr>
        <w:widowControl w:val="on"/>
        <w:pBdr/>
        <w:spacing w:before="140" w:after="240" w:line="288" w:lineRule="auto"/>
        <w:ind w:left="0" w:right="0"/>
        <w:jc w:val="left"/>
      </w:pPr>
      <w:r>
        <w:rPr>
          <w:rFonts w:ascii="Arial" w:hAnsi="Arial" w:eastAsia="Arial" w:cs="Arial"/>
          <w:color w:val="000000"/>
          <w:sz w:val="20"/>
          <w:szCs w:val="20"/>
        </w:rPr>
        <w:t xml:space="preserve">Für Altgrundstücke – das sind solche, die vor dem 1. April 2002
angeschafft wurden (vgl die zehnjährige Spekulationsfrist des
§ 30 Abs 1 Z 1 lit a EStG idF vor 1. StabG
2012) und am 31. März 2012 daher „nicht steuerverfangen“ waren –
setzt (abweichend von der bisherigen Rechtslage) § 30
Abs 4 Z 2 EStG die Anschaffungskosten iA mit 86 %
des Veräußerungserlöses fest, womit in diesen Fällen der Gewinn
einheitlich 14 % (100–86) und die Steuer 4,2 % (14 x
30 %) des Veräußerungserlöses beträgt. Im Falle von (in
bestimmter Art) umgewidmeten Altgrundstücken beträgt der Gewinn
einheitlich 60 % und die Steuer 18 % des
Veräußerungserlöses (§ 30 Abs 4 Z 1 EStG). Auf
Antrag können Altgrundstücke jedoch wie Neugrundstücke, dh nach
Maßgabe des § 30 Abs 3 EStG, behandelt werden (§ 30
Abs 5 EStG, Option zur Regeleinkünfteermittlung).</w:t>
      </w:r>
    </w:p>
    <w:p>
      <w:pPr>
        <w:widowControl w:val="on"/>
        <w:pBdr/>
        <w:spacing w:before="140" w:after="240" w:line="288" w:lineRule="auto"/>
        <w:ind w:left="0" w:right="0"/>
        <w:jc w:val="left"/>
      </w:pPr>
      <w:r>
        <w:rPr>
          <w:rFonts w:ascii="Arial" w:hAnsi="Arial" w:eastAsia="Arial" w:cs="Arial"/>
          <w:color w:val="000000"/>
          <w:sz w:val="20"/>
          <w:szCs w:val="20"/>
        </w:rPr>
        <w:t xml:space="preserve">Zur Verfassungskonformität der Einbeziehung von Altgrundstücken
in die Besteuerung vgl VfGH 25.09.2015, G111/2015 (VfSlg
20.004/2015).</w:t>
      </w:r>
    </w:p>
    <w:p>
      <w:pPr>
        <w:widowControl w:val="on"/>
        <w:pBdr/>
        <w:spacing w:before="140" w:after="240" w:line="288" w:lineRule="auto"/>
        <w:ind w:left="0" w:right="0"/>
        <w:jc w:val="left"/>
      </w:pPr>
      <w:r>
        <w:rPr>
          <w:rFonts w:ascii="Arial" w:hAnsi="Arial" w:eastAsia="Arial" w:cs="Arial"/>
          <w:color w:val="000000"/>
          <w:sz w:val="20"/>
          <w:szCs w:val="20"/>
        </w:rPr>
        <w:t xml:space="preserve">Für die Anwendung des § 30 Abs 4 EStG (Altgrundstücke)
ist überdies Abs 6 leg cit zu beachten.</w:t>
      </w:r>
    </w:p>
    <w:p>
      <w:pPr>
        <w:widowControl w:val="on"/>
        <w:pBdr/>
        <w:spacing w:before="140" w:after="240" w:line="288" w:lineRule="auto"/>
        <w:ind w:left="0" w:right="0"/>
        <w:jc w:val="left"/>
      </w:pPr>
      <w:r>
        <w:rPr>
          <w:rFonts w:ascii="Arial" w:hAnsi="Arial" w:eastAsia="Arial" w:cs="Arial"/>
          <w:color w:val="000000"/>
          <w:sz w:val="20"/>
          <w:szCs w:val="20"/>
        </w:rPr>
        <w:t xml:space="preserve">Die Immobilienertragsteuer ist durch Parteienvertreter iA selbst
zu berechnen (§ 30c Abs 2 EStG) und spätestens am 15. Tag
des auf den Kalendermonat des Zuflusses zweitfolgenden
Kalendermonats auf das Abgabenkonto des Veräußerers zu entrichten
(§ 30b Abs 1 und § 30c Abs 3 EStG).</w:t>
      </w:r>
    </w:p>
    <w:p>
      <w:pPr>
        <w:widowControl w:val="on"/>
        <w:pBdr/>
        <w:spacing w:before="140" w:after="240" w:line="288" w:lineRule="auto"/>
        <w:ind w:left="0" w:right="0"/>
        <w:jc w:val="left"/>
      </w:pPr>
      <w:r>
        <w:rPr>
          <w:rFonts w:ascii="Arial" w:hAnsi="Arial" w:eastAsia="Arial" w:cs="Arial"/>
          <w:color w:val="000000"/>
          <w:sz w:val="20"/>
          <w:szCs w:val="20"/>
        </w:rPr>
        <w:t xml:space="preserve">Mit der Entrichtung gilt die Steuer iA als abgegolten
(Abgeltungswirkung, § 30b Abs 2 EStG), sofern nicht von
der Veranlagungsoption iSd § 30b Abs 3 EStG Gebrauch
gemacht wird.</w:t>
      </w:r>
    </w:p>
    <w:p>
      <w:pPr>
        <w:widowControl w:val="on"/>
        <w:pBdr/>
        <w:spacing w:before="140" w:after="240" w:line="288" w:lineRule="auto"/>
        <w:ind w:left="0" w:right="0"/>
        <w:jc w:val="left"/>
      </w:pPr>
      <w:r>
        <w:rPr>
          <w:rFonts w:ascii="Arial" w:hAnsi="Arial" w:eastAsia="Arial" w:cs="Arial"/>
          <w:color w:val="000000"/>
          <w:sz w:val="20"/>
          <w:szCs w:val="20"/>
        </w:rPr>
        <w:t xml:space="preserve">Die Selbstberechnung (und folglich auch Entrichtung) kann jedoch
unterbleiben, soweit die Einkünfte aus dem Veräußerungsgeschäft
nach § 30 Abs 2 EStG befreit sind (§ 30c Abs 4
EStG).</w:t>
      </w:r>
    </w:p>
    <w:p>
      <w:pPr>
        <w:widowControl w:val="on"/>
        <w:pBdr/>
        <w:spacing w:before="140" w:after="240" w:line="288" w:lineRule="auto"/>
        <w:ind w:left="0" w:right="0"/>
        <w:jc w:val="left"/>
      </w:pPr>
      <w:r>
        <w:rPr>
          <w:rFonts w:ascii="Arial" w:hAnsi="Arial" w:eastAsia="Arial" w:cs="Arial"/>
          <w:b/>
          <w:bCs/>
          <w:color w:val="000000"/>
          <w:sz w:val="20"/>
          <w:szCs w:val="20"/>
        </w:rPr>
        <w:t xml:space="preserve">Bekämpfung mittels Beschwerde:</w:t>
      </w:r>
      <w:r>
        <w:rPr>
          <w:rFonts w:ascii="Arial" w:hAnsi="Arial" w:eastAsia="Arial" w:cs="Arial"/>
          <w:color w:val="000000"/>
          <w:sz w:val="20"/>
          <w:szCs w:val="20"/>
        </w:rPr>
        <w:br/>
        <w:t xml:space="preserve">Bescheide der Abgabenbehörden – so auch solche, die iZm der
Immobilienertragsteuer ergehen – können beim Verwaltungsgericht
angefochten werden (vgl § 243 BAO), Bescheide der Finanzämter
beim Bundesfinanzgericht (BFG, vgl Art 131 Abs 3 B-VG und
§ 1 Abs 1 BFGG).</w:t>
      </w:r>
    </w:p>
    <w:p>
      <w:pPr>
        <w:widowControl w:val="on"/>
        <w:pBdr/>
        <w:spacing w:before="140" w:after="240" w:line="288" w:lineRule="auto"/>
        <w:ind w:left="0" w:right="0"/>
        <w:jc w:val="left"/>
      </w:pPr>
      <w:r>
        <w:rPr>
          <w:rFonts w:ascii="Arial" w:hAnsi="Arial" w:eastAsia="Arial" w:cs="Arial"/>
          <w:color w:val="000000"/>
          <w:sz w:val="20"/>
          <w:szCs w:val="20"/>
        </w:rPr>
        <w:t xml:space="preserve">Für Eingaben an Verwaltungsbehörden und Verwaltungsgerichte in
Abgabensachen fällt keine Eingabegebühr an (§ 14 TP 6
Abs 5 Z 4 GebG). Beschwerden gegen Abgabenbescheide an
das Verwaltungsgericht sind daher gebührenfrei.</w:t>
      </w:r>
    </w:p>
    <w:p>
      <w:pPr>
        <w:widowControl w:val="on"/>
        <w:pBdr/>
        <w:spacing w:before="140" w:after="240" w:line="288" w:lineRule="auto"/>
        <w:ind w:left="0" w:right="0"/>
        <w:jc w:val="left"/>
      </w:pPr>
      <w:r>
        <w:rPr>
          <w:rFonts w:ascii="Arial" w:hAnsi="Arial" w:eastAsia="Arial" w:cs="Arial"/>
          <w:b/>
          <w:bCs/>
          <w:color w:val="000000"/>
          <w:sz w:val="20"/>
          <w:szCs w:val="20"/>
        </w:rPr>
        <w:t xml:space="preserve">Aussetzung der Einhebung:</w:t>
      </w:r>
      <w:r>
        <w:rPr>
          <w:rFonts w:ascii="Arial" w:hAnsi="Arial" w:eastAsia="Arial" w:cs="Arial"/>
          <w:color w:val="000000"/>
          <w:sz w:val="20"/>
          <w:szCs w:val="20"/>
        </w:rPr>
        <w:br/>
        <w:t xml:space="preserve">Beschwerden kommt keine aufschiebende Wirkung zu, insbesondere wird
die Einhebung und zwangsweise Einbringung einer Abgabe nicht
aufgehalten (§ 254 BAO). Es kann jedoch bis zur Entscheidung
über die Bescheidbeschwerde ein Antrag auf Aussetzung der Einhebung
(Zahlungsaufschub) gem § 212a BAO gestellt werden, wenn die
Einhebung einer Abgabe bzw deren Höhe von der Erledigung einer
Bescheidbeschwerde abhängt.</w:t>
      </w:r>
    </w:p>
    <w:p>
      <w:pPr>
        <w:widowControl w:val="on"/>
        <w:pBdr/>
        <w:spacing w:before="140" w:after="240" w:line="288" w:lineRule="auto"/>
        <w:ind w:left="0" w:right="0"/>
        <w:jc w:val="left"/>
      </w:pPr>
      <w:r>
        <w:rPr>
          <w:rFonts w:ascii="Arial" w:hAnsi="Arial" w:eastAsia="Arial" w:cs="Arial"/>
          <w:color w:val="000000"/>
          <w:sz w:val="20"/>
          <w:szCs w:val="20"/>
        </w:rPr>
        <w:t xml:space="preserve">Aussetzungsanträge – über die die Bescheid erlassende
Abgabenbehörde zu entscheiden hat (VwGH 01.03.2018, Ra
2016/16/0045) und die daher auch an diese (und nicht das
Verwaltungsgericht) zu richten sind – haben die Darstellung der
Ermittlung des für die Aussetzung in Betracht kommenden
Abgabenbetrages zu enthalten. Es ist daher anzugeben, von welcher
bekämpften Abgabenschuld in welcher Höhe Aussetzung begehrt wird.
Wird der die Abgabenschuld vorschreibende Bescheid zur Gänze
bekämpft, ist sohin Aussetzung in Höhe der ganzen vorgeschriebenen
Abgabenschuld zu beantragen. Entsprechendes gilt bei einer – im
Hinblick auf die Höhe der vorgeschriebenen Abgabenschuld – bloß
teilweisen Bekämpfung.</w:t>
      </w:r>
    </w:p>
    <w:p>
      <w:pPr>
        <w:widowControl w:val="on"/>
        <w:pBdr/>
        <w:spacing w:before="140" w:after="240" w:line="288" w:lineRule="auto"/>
        <w:ind w:left="0" w:right="0"/>
        <w:jc w:val="left"/>
      </w:pPr>
      <w:r>
        <w:rPr>
          <w:rFonts w:ascii="Arial" w:hAnsi="Arial" w:eastAsia="Arial" w:cs="Arial"/>
          <w:color w:val="000000"/>
          <w:sz w:val="20"/>
          <w:szCs w:val="20"/>
        </w:rPr>
        <w:t xml:space="preserve">Beispiel: Antrag auf Aussetzung der Einhebung der durch mittels
gegenständlicher Beschwerde bekämpften Bescheid vorgeschriebenen
Abgabe iHv EUR …</w:t>
      </w:r>
    </w:p>
    <w:p>
      <w:pPr>
        <w:widowControl w:val="on"/>
        <w:pBdr/>
        <w:spacing w:before="140" w:after="240" w:line="288" w:lineRule="auto"/>
        <w:ind w:left="0" w:right="0"/>
        <w:jc w:val="left"/>
      </w:pPr>
      <w:r>
        <w:rPr>
          <w:rFonts w:ascii="Arial" w:hAnsi="Arial" w:eastAsia="Arial" w:cs="Arial"/>
          <w:color w:val="000000"/>
          <w:sz w:val="20"/>
          <w:szCs w:val="20"/>
        </w:rPr>
        <w:t xml:space="preserve">Die Aussetzung der Einhebung – auf deren Bewilligung bei
Vorliegen der Voraussetzungen prinzipiell ein Rechtsanspruch
besteht (VwGH 16.12.2009, 2007/15/0294; VwGH 31.01.2019, Ra
2018/15/0003) – ist ua nicht zu bewilligen,</w:t>
      </w:r>
    </w:p>
    <w:p>
      <w:pPr>
        <w:numPr>
          <w:ilvl w:val="0"/>
          <w:numId w:val="2055505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die Beschwerde wenig erfolgversprechend erscheint
oder</w:t>
      </w:r>
    </w:p>
    <w:p>
      <w:pPr>
        <w:numPr>
          <w:ilvl w:val="0"/>
          <w:numId w:val="20555057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das Verhalten des Abgabepflichtigen auf eine Gefährdung
der Einbringlichkeit der Abgabe gerichtet ist.</w:t>
      </w:r>
    </w:p>
    <w:p>
      <w:pPr>
        <w:widowControl w:val="on"/>
        <w:pBdr/>
        <w:spacing w:before="140" w:after="240" w:line="288" w:lineRule="auto"/>
        <w:ind w:left="0" w:right="0"/>
        <w:jc w:val="left"/>
      </w:pPr>
      <w:r>
        <w:rPr>
          <w:rFonts w:ascii="Arial" w:hAnsi="Arial" w:eastAsia="Arial" w:cs="Arial"/>
          <w:color w:val="000000"/>
          <w:sz w:val="20"/>
          <w:szCs w:val="20"/>
        </w:rPr>
        <w:t xml:space="preserve">Für bewilligte Aussetzungen sind Aussetzungszinsen iHv 2 %
über dem Basiszinssatz (ab 1. Juli 2025: 1,53 %) zu
entrichten, soweit der Beschwerde nicht stattgegeben wird (vgl VwGH
31.03.2017, Ra 2016/13/0034).</w:t>
      </w:r>
    </w:p>
    <w:p>
      <w:r>
        <w:pict>
          <v:rect id="_x0000_i1026" style="width:0;height:1.5pt" o:hralign="center" o:hrstd="t" o:hr="t" o:hrnoshade="t" fillcolor="#a0a0a0" stroked="f"/>
        </w:pict>
      </w:r>
    </w:p>
    <w:p>
      <w:pPr>
        <w:widowControl w:val="on"/>
        <w:pBdr/>
        <w:spacing w:before="140" w:after="240" w:line="288" w:lineRule="auto"/>
        <w:ind w:left="0" w:right="0"/>
        <w:jc w:val="left"/>
      </w:pPr>
      <w:r>
        <w:rPr>
          <w:rFonts w:ascii="Arial" w:hAnsi="Arial" w:eastAsia="Arial" w:cs="Arial"/>
          <w:color w:val="000000"/>
          <w:sz w:val="20"/>
          <w:szCs w:val="20"/>
        </w:rPr>
        <w:t xml:space="preserve">An </w:t>
      </w:r>
      <w:r>
        <w:rPr>
          <w:rFonts w:ascii="Arial" w:hAnsi="Arial" w:eastAsia="Arial" w:cs="Arial"/>
          <w:color w:val="000000"/>
          <w:sz w:val="20"/>
          <w:szCs w:val="20"/>
        </w:rPr>
        <w:t xml:space="preserve">die</w:t>
      </w:r>
      <w:bookmarkStart w:id="85603615" w:name="link1"/>
      <w:bookmarkEnd w:id="85603615"/>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br/>
        <w:t xml:space="preserve">Abgabenbehörde</w:t>
      </w:r>
      <w:r>
        <w:rPr>
          <w:rFonts w:ascii="Arial" w:hAnsi="Arial" w:eastAsia="Arial" w:cs="Arial"/>
          <w:color w:val="000000"/>
          <w:sz w:val="20"/>
          <w:szCs w:val="20"/>
        </w:rPr>
        <w:br/>
        <w:t xml:space="preserve">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Beschwerdeführer:</w:t>
            </w:r>
            <w:bookmarkStart w:id="55480046" w:name="link2"/>
            <w:bookmarkEnd w:id="55480046"/>
            <w:hyperlink w:anchor="note2" w:history="1">
              <w:r>
                <w:rPr>
                  <w:rFonts w:ascii="Arial" w:hAnsi="Arial" w:eastAsia="Arial" w:cs="Arial"/>
                  <w:b/>
                  <w:bCs/>
                  <w:color w:val="006BB6"/>
                  <w:position w:val="4"/>
                  <w:sz w:val="22"/>
                  <w:szCs w:val="22"/>
                  <w:shd w:val="clear" w:color="auto" w:fill="FFFFFF"/>
                  <w:vertAlign w:val="superscript"/>
                </w:rPr>
                <w:t xml:space="preserve">2</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[Natürliche Person: Vorname und Nachname]</w:t>
            </w:r>
            <w:r>
              <w:rPr>
                <w:rFonts w:ascii="Arial" w:hAnsi="Arial" w:eastAsia="Arial" w:cs="Arial"/>
                <w:color w:val="000000"/>
                <w:position w:val="0"/>
                <w:sz w:val="20"/>
                <w:szCs w:val="20"/>
                <w:shd w:val="clear" w:color="auto" w:fill="FFFFFF"/>
              </w:rPr>
              <w:br/>
              <w:t xml:space="preserve">und</w:t>
            </w:r>
            <w:r>
              <w:rPr>
                <w:rFonts w:ascii="Arial" w:hAnsi="Arial" w:eastAsia="Arial" w:cs="Arial"/>
                <w:color w:val="000000"/>
                <w:position w:val="0"/>
                <w:sz w:val="20"/>
                <w:szCs w:val="20"/>
                <w:shd w:val="clear" w:color="auto" w:fill="FFFFFF"/>
              </w:rPr>
              <w:br/>
              <w:t xml:space="preserve">… [Sonstiger Beschwerdeführer: Bezeichnung (der GmbH, des Vereins
etc), Angabe des Vertretungsbefugten (§§ 80, 81 BAO)]</w:t>
            </w:r>
            <w:r>
              <w:rPr>
                <w:rFonts w:ascii="Arial" w:hAnsi="Arial" w:eastAsia="Arial" w:cs="Arial"/>
                <w:color w:val="000000"/>
                <w:position w:val="0"/>
                <w:sz w:val="20"/>
                <w:szCs w:val="20"/>
                <w:shd w:val="clear" w:color="auto" w:fill="FFFFFF"/>
              </w:rPr>
              <w:br/>
              <w:t xml:space="preserve">… [Adresse, Telefon/E-Mail]</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w:t>
            </w:r>
            <w:r>
              <w:rPr>
                <w:rFonts w:ascii="Arial" w:hAnsi="Arial" w:eastAsia="Arial" w:cs="Arial"/>
                <w:color w:val="000000"/>
                <w:position w:val="0"/>
                <w:sz w:val="20"/>
                <w:szCs w:val="20"/>
                <w:shd w:val="clear" w:color="auto" w:fill="FFFFFF"/>
              </w:rPr>
              <w:t xml:space="preserve">durch:</w:t>
            </w:r>
            <w:bookmarkStart w:id="40741513" w:name="link3"/>
            <w:bookmarkEnd w:id="40741513"/>
            <w:hyperlink w:anchor="note3" w:history="1">
              <w:r>
                <w:rPr>
                  <w:rFonts w:ascii="Arial" w:hAnsi="Arial" w:eastAsia="Arial" w:cs="Arial"/>
                  <w:b/>
                  <w:bCs/>
                  <w:color w:val="006BB6"/>
                  <w:position w:val="4"/>
                  <w:sz w:val="22"/>
                  <w:szCs w:val="22"/>
                  <w:shd w:val="clear" w:color="auto" w:fill="FFFFFF"/>
                  <w:vertAlign w:val="superscript"/>
                </w:rPr>
                <w:t xml:space="preserve">3</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[Rechtsanwalt]</w:t>
            </w:r>
            <w:r>
              <w:rPr>
                <w:rFonts w:ascii="Arial" w:hAnsi="Arial" w:eastAsia="Arial" w:cs="Arial"/>
                <w:color w:val="000000"/>
                <w:position w:val="0"/>
                <w:sz w:val="20"/>
                <w:szCs w:val="20"/>
                <w:shd w:val="clear" w:color="auto" w:fill="FFFFFF"/>
              </w:rPr>
              <w:br/>
              <w:t xml:space="preserve">… [Adresse]</w:t>
            </w:r>
            <w:r>
              <w:rPr>
                <w:rFonts w:ascii="Arial" w:hAnsi="Arial" w:eastAsia="Arial" w:cs="Arial"/>
                <w:color w:val="000000"/>
                <w:position w:val="0"/>
                <w:sz w:val="20"/>
                <w:szCs w:val="20"/>
                <w:shd w:val="clear" w:color="auto" w:fill="FFFFFF"/>
              </w:rPr>
              <w:br/>
              <w:t xml:space="preserve">Vollmacht erteilt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w:t>
            </w:r>
            <w:r>
              <w:rPr>
                <w:rFonts w:ascii="Arial" w:hAnsi="Arial" w:eastAsia="Arial" w:cs="Arial"/>
                <w:color w:val="000000"/>
                <w:position w:val="0"/>
                <w:sz w:val="20"/>
                <w:szCs w:val="20"/>
                <w:shd w:val="clear" w:color="auto" w:fill="FFFFFF"/>
              </w:rPr>
              <w:t xml:space="preserve">Behörde:</w:t>
            </w:r>
            <w:bookmarkStart w:id="87842758" w:name="link4"/>
            <w:bookmarkEnd w:id="87842758"/>
            <w:hyperlink w:anchor="note4" w:history="1">
              <w:r>
                <w:rPr>
                  <w:rFonts w:ascii="Arial" w:hAnsi="Arial" w:eastAsia="Arial" w:cs="Arial"/>
                  <w:b/>
                  <w:bCs/>
                  <w:color w:val="006BB6"/>
                  <w:position w:val="4"/>
                  <w:sz w:val="22"/>
                  <w:szCs w:val="22"/>
                  <w:shd w:val="clear" w:color="auto" w:fill="FFFFFF"/>
                  <w:vertAlign w:val="superscript"/>
                </w:rPr>
                <w:t xml:space="preserve">4</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[Abgabenbehörde]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bookmarkStart w:id="47980906" w:name="link5"/>
            <w:bookmarkEnd w:id="47980906"/>
            <w:hyperlink w:anchor="note5" w:history="1">
              <w:r>
                <w:rPr>
                  <w:rFonts w:ascii="Arial" w:hAnsi="Arial" w:eastAsia="Arial" w:cs="Arial"/>
                  <w:b/>
                  <w:bCs/>
                  <w:color w:val="006BB6"/>
                  <w:position w:val="4"/>
                  <w:sz w:val="22"/>
                  <w:szCs w:val="22"/>
                  <w:shd w:val="clear" w:color="auto" w:fill="FFFFFF"/>
                  <w:vertAlign w:val="superscript"/>
                </w:rPr>
                <w:t xml:space="preserve">5</w:t>
              </w:r>
            </w:hyperlink>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Beschwerde gem Art 130 Abs 1 Z 1 B-VG gegen den
Bescheid vom … [Datum], zugestellt am … [Datum], GZ …
[Geschäftszahl]</w:t>
            </w:r>
          </w:p>
        </w:tc>
      </w:tr>
    </w:tbl>
    <w:p>
      <w:pPr>
        <w:widowControl w:val="on"/>
        <w:pBdr/>
        <w:spacing w:before="140" w:after="240" w:line="288" w:lineRule="auto"/>
        <w:ind w:left="0" w:right="0"/>
        <w:jc w:val="right"/>
      </w:pPr>
      <w:r>
        <w:rPr>
          <w:rFonts w:ascii="Arial" w:hAnsi="Arial" w:eastAsia="Arial" w:cs="Arial"/>
          <w:color w:val="000000"/>
          <w:sz w:val="20"/>
          <w:szCs w:val="20"/>
        </w:rPr>
        <w:t xml:space="preserve">1-fach</w:t>
      </w:r>
      <w:bookmarkStart w:id="74844277" w:name="link6"/>
      <w:bookmarkEnd w:id="74844277"/>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br/>
        <w:t xml:space="preserve">… [Anzahl] </w:t>
      </w:r>
      <w:r>
        <w:rPr>
          <w:rFonts w:ascii="Arial" w:hAnsi="Arial" w:eastAsia="Arial" w:cs="Arial"/>
          <w:color w:val="000000"/>
          <w:sz w:val="20"/>
          <w:szCs w:val="20"/>
        </w:rPr>
        <w:t xml:space="preserve">Beilagen</w:t>
      </w:r>
      <w:bookmarkStart w:id="20077142" w:name="link7"/>
      <w:bookmarkEnd w:id="20077142"/>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der Abgabenbehörde vom … [Datum], zugestellt
am … [Datum], GZ … [Geschäftszahl], erhebe ich … [gegebenenfalls
namens der vertretenen Gesellschaft/des vertretenen Vereins als
Vertretungsbefugter iSd §§ 80, 81 BAO] … [durch den
bevollmächtigten Vertreter] binnen offener Frist wegen
Rechtswidrigkeit gem Art 130 Abs 1 Z 1 B-VG
folgende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Bescheidbeschwerde</w:t>
      </w:r>
    </w:p>
    <w:p>
      <w:pPr>
        <w:widowControl w:val="on"/>
        <w:pBdr/>
        <w:spacing w:before="140" w:after="240" w:line="288" w:lineRule="auto"/>
        <w:ind w:left="0" w:right="0"/>
        <w:jc w:val="left"/>
      </w:pPr>
      <w:r>
        <w:rPr>
          <w:rFonts w:ascii="Arial" w:hAnsi="Arial" w:eastAsia="Arial" w:cs="Arial"/>
          <w:color w:val="000000"/>
          <w:sz w:val="20"/>
          <w:szCs w:val="20"/>
        </w:rPr>
        <w:t xml:space="preserve">an das Bundesfinanzgericht wegen Verletzung des … [durch
Art/§ Gesetz] einfachgesetzlich/verfassungsgesetzlich
gewährleisteten Rechtes auf </w:t>
      </w:r>
      <w:r>
        <w:rPr>
          <w:rFonts w:ascii="Arial" w:hAnsi="Arial" w:eastAsia="Arial" w:cs="Arial"/>
          <w:color w:val="000000"/>
          <w:sz w:val="20"/>
          <w:szCs w:val="20"/>
        </w:rPr>
        <w:t xml:space="preserve">…</w:t>
      </w:r>
      <w:bookmarkStart w:id="19123776" w:name="link8"/>
      <w:bookmarkEnd w:id="19123776"/>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I. </w:t>
      </w:r>
      <w:r>
        <w:rPr>
          <w:rFonts w:ascii="Arial" w:hAnsi="Arial" w:eastAsia="Arial" w:cs="Arial"/>
          <w:color w:val="000000"/>
          <w:sz w:val="20"/>
          <w:szCs w:val="20"/>
        </w:rPr>
        <w:t xml:space="preserve">Sachverhalt:</w:t>
      </w:r>
      <w:bookmarkStart w:id="59469338" w:name="link9"/>
      <w:bookmarkEnd w:id="59469338"/>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140" w:after="240" w:line="288" w:lineRule="auto"/>
        <w:ind w:left="0" w:right="0"/>
        <w:jc w:val="left"/>
      </w:pPr>
      <w:r>
        <w:rPr>
          <w:rFonts w:ascii="Arial" w:hAnsi="Arial" w:eastAsia="Arial" w:cs="Arial"/>
          <w:color w:val="000000"/>
          <w:sz w:val="20"/>
          <w:szCs w:val="20"/>
        </w:rPr>
        <w:t xml:space="preserve">… [Darstellung des (insbesondere für die geltend gemachte
Rechtsverletzung) relevanten Sachverhaltes, auch neues
Sachvorbringen ist zulässig. Eventuell Wiederholung von bislang
unberücksichtigt gebliebenen Beweisanboten bzw neue
Beweisanbote]</w:t>
      </w:r>
    </w:p>
    <w:p>
      <w:pPr>
        <w:widowControl w:val="on"/>
        <w:pBdr/>
        <w:spacing w:before="140" w:after="240" w:line="288" w:lineRule="auto"/>
        <w:ind w:left="0" w:right="0"/>
        <w:jc w:val="left"/>
      </w:pPr>
      <w:r>
        <w:rPr>
          <w:rFonts w:ascii="Arial" w:hAnsi="Arial" w:eastAsia="Arial" w:cs="Arial"/>
          <w:color w:val="000000"/>
          <w:sz w:val="20"/>
          <w:szCs w:val="20"/>
        </w:rPr>
        <w:t xml:space="preserve">II. Ich stelle daher die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Anträge,</w:t>
      </w:r>
    </w:p>
    <w:p>
      <w:pPr>
        <w:widowControl w:val="on"/>
        <w:pBdr/>
        <w:spacing w:before="140" w:after="240" w:line="288" w:lineRule="auto"/>
        <w:ind w:left="0" w:right="0"/>
        <w:jc w:val="left"/>
      </w:pPr>
      <w:r>
        <w:rPr>
          <w:rFonts w:ascii="Arial" w:hAnsi="Arial" w:eastAsia="Arial" w:cs="Arial"/>
          <w:color w:val="000000"/>
          <w:sz w:val="20"/>
          <w:szCs w:val="20"/>
        </w:rPr>
        <w:t xml:space="preserve">das Bundesfinanzgericht möge</w:t>
      </w:r>
    </w:p>
    <w:p>
      <w:pPr>
        <w:numPr>
          <w:ilvl w:val="0"/>
          <w:numId w:val="880180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angefochtenen Bescheid ersatzlos aufheben/hinsichtlich der
Spruchpunkte … aufheben/allenfalls nach Beweisergänzung und
berichtigender Feststellung des maßgeblichen Sachverhalts
dahingehend abändern, sodass der Spruch lautet wie folgt:
</w:t>
      </w:r>
      <w:r>
        <w:rPr>
          <w:rFonts w:ascii="Arial" w:hAnsi="Arial" w:eastAsia="Arial" w:cs="Arial"/>
          <w:color w:val="000000"/>
          <w:sz w:val="20"/>
          <w:szCs w:val="20"/>
        </w:rPr>
        <w:t xml:space="preserve">…</w:t>
      </w:r>
      <w:bookmarkStart w:id="3596310" w:name="link10"/>
      <w:bookmarkEnd w:id="3596310"/>
      <w:hyperlink w:anchor="note10" w:history="1">
        <w:r>
          <w:rPr>
            <w:rFonts w:ascii="Arial" w:hAnsi="Arial" w:eastAsia="Arial" w:cs="Arial"/>
            <w:b/>
            <w:bCs/>
            <w:color w:val="006BB6"/>
            <w:position w:val="4"/>
            <w:sz w:val="22"/>
            <w:szCs w:val="22"/>
            <w:vertAlign w:val="superscript"/>
          </w:rPr>
          <w:t xml:space="preserve">10</w:t>
        </w:r>
      </w:hyperlink>
    </w:p>
    <w:p>
      <w:pPr>
        <w:numPr>
          <w:ilvl w:val="0"/>
          <w:numId w:val="880180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272 Abs 2 Z 1 lit a BAO durch Senat
</w:t>
      </w:r>
      <w:r>
        <w:rPr>
          <w:rFonts w:ascii="Arial" w:hAnsi="Arial" w:eastAsia="Arial" w:cs="Arial"/>
          <w:color w:val="000000"/>
          <w:sz w:val="20"/>
          <w:szCs w:val="20"/>
        </w:rPr>
        <w:t xml:space="preserve">entscheiden</w:t>
      </w:r>
      <w:bookmarkStart w:id="34805923" w:name="link11"/>
      <w:bookmarkEnd w:id="34805923"/>
      <w:hyperlink w:anchor="note11" w:history="1">
        <w:r>
          <w:rPr>
            <w:rFonts w:ascii="Arial" w:hAnsi="Arial" w:eastAsia="Arial" w:cs="Arial"/>
            <w:b/>
            <w:bCs/>
            <w:color w:val="006BB6"/>
            <w:position w:val="4"/>
            <w:sz w:val="22"/>
            <w:szCs w:val="22"/>
            <w:vertAlign w:val="superscript"/>
          </w:rPr>
          <w:t xml:space="preserve">11</w:t>
        </w:r>
      </w:hyperlink>
    </w:p>
    <w:p>
      <w:pPr>
        <w:numPr>
          <w:ilvl w:val="0"/>
          <w:numId w:val="880180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274 Abs 1 Z 1 lit a BAO eine
öffentliche mündliche Verhandlung </w:t>
      </w:r>
      <w:r>
        <w:rPr>
          <w:rFonts w:ascii="Arial" w:hAnsi="Arial" w:eastAsia="Arial" w:cs="Arial"/>
          <w:color w:val="000000"/>
          <w:sz w:val="20"/>
          <w:szCs w:val="20"/>
        </w:rPr>
        <w:t xml:space="preserve">durchführen</w:t>
      </w:r>
      <w:bookmarkStart w:id="58778608" w:name="link12"/>
      <w:bookmarkEnd w:id="58778608"/>
      <w:hyperlink w:anchor="note12" w:history="1">
        <w:r>
          <w:rPr>
            <w:rFonts w:ascii="Arial" w:hAnsi="Arial" w:eastAsia="Arial" w:cs="Arial"/>
            <w:b/>
            <w:bCs/>
            <w:color w:val="006BB6"/>
            <w:position w:val="4"/>
            <w:sz w:val="22"/>
            <w:szCs w:val="22"/>
            <w:vertAlign w:val="superscript"/>
          </w:rPr>
          <w:t xml:space="preserve">12</w:t>
        </w:r>
      </w:hyperlink>
    </w:p>
    <w:p>
      <w:pPr>
        <w:numPr>
          <w:ilvl w:val="0"/>
          <w:numId w:val="88018049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gem § 292 BAO den Verfahrenshilfeantrag </w:t>
      </w:r>
      <w:r>
        <w:rPr>
          <w:rFonts w:ascii="Arial" w:hAnsi="Arial" w:eastAsia="Arial" w:cs="Arial"/>
          <w:color w:val="000000"/>
          <w:sz w:val="20"/>
          <w:szCs w:val="20"/>
        </w:rPr>
        <w:t xml:space="preserve">bewilligen</w:t>
      </w:r>
      <w:bookmarkStart w:id="30320929" w:name="link13"/>
      <w:bookmarkEnd w:id="30320929"/>
      <w:hyperlink w:anchor="note13" w:history="1">
        <w:r>
          <w:rPr>
            <w:rFonts w:ascii="Arial" w:hAnsi="Arial" w:eastAsia="Arial" w:cs="Arial"/>
            <w:b/>
            <w:bCs/>
            <w:color w:val="006BB6"/>
            <w:position w:val="4"/>
            <w:sz w:val="22"/>
            <w:szCs w:val="22"/>
            <w:vertAlign w:val="superscript"/>
          </w:rPr>
          <w:t xml:space="preserve">13</w:t>
        </w:r>
      </w:hyperlink>
    </w:p>
    <w:p>
      <w:pPr>
        <w:widowControl w:val="on"/>
        <w:pBdr/>
        <w:spacing w:before="140" w:after="240" w:line="288" w:lineRule="auto"/>
        <w:ind w:left="0" w:right="0"/>
        <w:jc w:val="left"/>
      </w:pPr>
      <w:r>
        <w:rPr>
          <w:rFonts w:ascii="Arial" w:hAnsi="Arial" w:eastAsia="Arial" w:cs="Arial"/>
          <w:color w:val="000000"/>
          <w:sz w:val="20"/>
          <w:szCs w:val="20"/>
        </w:rPr>
        <w:t xml:space="preserve">III. Die Anträge begründe ich wie </w:t>
      </w:r>
      <w:r>
        <w:rPr>
          <w:rFonts w:ascii="Arial" w:hAnsi="Arial" w:eastAsia="Arial" w:cs="Arial"/>
          <w:color w:val="000000"/>
          <w:sz w:val="20"/>
          <w:szCs w:val="20"/>
        </w:rPr>
        <w:t xml:space="preserve">folgt:</w:t>
      </w:r>
      <w:bookmarkStart w:id="6812923" w:name="link14"/>
      <w:bookmarkEnd w:id="6812923"/>
      <w:hyperlink w:anchor="note14" w:history="1">
        <w:r>
          <w:rPr>
            <w:rFonts w:ascii="Arial" w:hAnsi="Arial" w:eastAsia="Arial" w:cs="Arial"/>
            <w:b/>
            <w:bCs/>
            <w:color w:val="006BB6"/>
            <w:position w:val="4"/>
            <w:sz w:val="22"/>
            <w:szCs w:val="22"/>
            <w:vertAlign w:val="superscript"/>
          </w:rPr>
          <w:t xml:space="preserve">14</w:t>
        </w:r>
      </w:hyperlink>
    </w:p>
    <w:p>
      <w:pPr>
        <w:widowControl w:val="on"/>
        <w:pBdr/>
        <w:spacing w:before="140" w:after="240" w:line="288" w:lineRule="auto"/>
        <w:ind w:left="0" w:right="0"/>
        <w:jc w:val="left"/>
      </w:pPr>
      <w:r>
        <w:rPr>
          <w:rFonts w:ascii="Arial" w:hAnsi="Arial" w:eastAsia="Arial" w:cs="Arial"/>
          <w:color w:val="000000"/>
          <w:sz w:val="20"/>
          <w:szCs w:val="20"/>
        </w:rPr>
        <w:t xml:space="preserve">… [Betreffend die Zulässigkeit der Beschwerde (falls strittig):
Rechtzeitigkeit, Beschwerdelegitimation]</w:t>
      </w:r>
    </w:p>
    <w:p>
      <w:pPr>
        <w:widowControl w:val="on"/>
        <w:pBdr/>
        <w:spacing w:before="140" w:after="240" w:line="288" w:lineRule="auto"/>
        <w:ind w:left="0" w:right="0"/>
        <w:jc w:val="left"/>
      </w:pPr>
      <w:r>
        <w:rPr>
          <w:rFonts w:ascii="Arial" w:hAnsi="Arial" w:eastAsia="Arial" w:cs="Arial"/>
          <w:color w:val="000000"/>
          <w:sz w:val="20"/>
          <w:szCs w:val="20"/>
        </w:rPr>
        <w:t xml:space="preserve">… [Betreffend die Begründetheit der Beschwerde: Beschwerdegründe
bzw Begründung ieS]</w:t>
      </w:r>
    </w:p>
    <w:p>
      <w:pPr>
        <w:widowControl w:val="on"/>
        <w:pBdr/>
        <w:spacing w:before="140" w:after="240" w:line="288" w:lineRule="auto"/>
        <w:ind w:left="0" w:right="0"/>
        <w:jc w:val="left"/>
      </w:pPr>
      <w:r>
        <w:rPr>
          <w:rFonts w:ascii="Arial" w:hAnsi="Arial" w:eastAsia="Arial" w:cs="Arial"/>
          <w:color w:val="000000"/>
          <w:sz w:val="20"/>
          <w:szCs w:val="20"/>
        </w:rPr>
        <w:t xml:space="preserve">…, am </w:t>
      </w:r>
      <w:r>
        <w:rPr>
          <w:rFonts w:ascii="Arial" w:hAnsi="Arial" w:eastAsia="Arial" w:cs="Arial"/>
          <w:color w:val="000000"/>
          <w:sz w:val="20"/>
          <w:szCs w:val="20"/>
        </w:rPr>
        <w:t xml:space="preserve">…</w:t>
      </w:r>
      <w:bookmarkStart w:id="43762403" w:name="link15"/>
      <w:bookmarkEnd w:id="43762403"/>
      <w:hyperlink w:anchor="note15" w:history="1">
        <w:r>
          <w:rPr>
            <w:rFonts w:ascii="Arial" w:hAnsi="Arial" w:eastAsia="Arial" w:cs="Arial"/>
            <w:b/>
            <w:bCs/>
            <w:color w:val="006BB6"/>
            <w:position w:val="4"/>
            <w:sz w:val="22"/>
            <w:szCs w:val="22"/>
            <w:vertAlign w:val="superscript"/>
          </w:rPr>
          <w:t xml:space="preserve">15</w:t>
        </w:r>
      </w:hyperlink>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Beschwerdeführer]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2137980" w:name="note1"/>
            <w:bookmarkEnd w:id="72137980"/>
            <w:bookmarkStart w:id="737163822467" w:name="note1"/>
            <w:r>
              <w:rPr>
                <w:rFonts w:ascii="Arial" w:hAnsi="Arial" w:eastAsia="Arial" w:cs="Arial"/>
                <w:b/>
                <w:bCs/>
                <w:color w:val="000000"/>
                <w:position w:val="0"/>
                <w:sz w:val="20"/>
                <w:szCs w:val="20"/>
              </w:rPr>
              <w:t xml:space="preserve">[1]</w:t>
            </w:r>
            <w:bookmarkEnd w:id="73716382246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Einbringung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Bescheidbeschwerde ist (schriftlich) bei der Abgabenbehörde
einzubringen, die den angefochtenen Bescheid erlassen hat (=
belangte Behörde; § 249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der Beschwerde erfolgt entweder per Post, per
FAX oder durch Abgabe in der Einlaufstelle der Behörde, ggf auch
auf FinanzOnline (Weitere Services/Bescheidänderung). Es sind die
diesbezüglichen auf der Internetseite der Bescheid erlassenden
Behörde enthaltenen Informationen sowie die Rechtsmittelbelehrung
des angefochtenen Bescheides zu beachten.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924175" w:name="note2"/>
            <w:bookmarkEnd w:id="40924175"/>
            <w:bookmarkStart w:id="5372989750933" w:name="note2"/>
            <w:r>
              <w:rPr>
                <w:rFonts w:ascii="Arial" w:hAnsi="Arial" w:eastAsia="Arial" w:cs="Arial"/>
                <w:b/>
                <w:bCs/>
                <w:color w:val="000000"/>
                <w:position w:val="0"/>
                <w:sz w:val="20"/>
                <w:szCs w:val="20"/>
              </w:rPr>
              <w:t xml:space="preserve">[2]</w:t>
            </w:r>
            <w:bookmarkEnd w:id="537298975093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Beschwerdeführer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Beschwerdeführer ist, wer durch den Bescheid in seinen Rechten
verletzt zu sein behauptet (Art 132 Abs 1 Z 1 B-VG),
bzw ist zur Einbringung einer Bescheidbeschwerde jeder befugt, an
den der den Gegenstand der Anfechtung bildende Bescheid ergangen
ist (= Bescheidadressat; § 246 Abs 1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der Abgabenbescheid an eine natürliche Person ergangen, ist
diese beschwerdelegitimiert.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Abgabepflichtiger hingegen nicht eine natürliche Person,
sondern eine juristische (zB GmbH, AG, Verein), ist der
Abgabenbescheid an diese zu adressieren und auch nur diese
beschwerdelegitimiert (vgl VwGH 17.09.1992, 92/16/0113).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Eingetragene Personengesellschaften (OG, KG) sind dagegen auch
nach dem HaRÄG 2005 als Personenvereinigung „ohne eigene
Rechtspersönlichkeit“ iSd § 81 BAO zu beurteilen (vgl VwGH
15.12.2022, Ra 2022/13/0023).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Personengesellschaften im
Ertragsteuerrecht zwar Einkünfteermittlungssubjekt, nicht aber
Steuersubjekt sind. Damit ist die Festsetzung von
Immobilienertragsteuer (als Einkommensteuer) gegenüber einer
Personengesellschaft rechtswidrig (VwGH 03.09.2019, Ro
2019/15/0016).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in §§ 80, 81 BAO angesprochenen (natürlichen) Personen
– etwa Vorstände einer AG, Geschäftsführer einer GmbH, zur
Vertretung nach außen Berufene eines Vereins, gem § 81
Abs 2 BAO namhaft gemachte Personen bei OG und KG – sind im
Besonderen auch dazu befugt, Bescheidbeschwerde zu erheben –
Vertreter von Personengesellschaften im eigenen Namen, Vertreter
von juristischen Personen namens der vertretenen Gesellschaft im
fremden Namen.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06612" w:name="note3"/>
            <w:bookmarkEnd w:id="8806612"/>
            <w:bookmarkStart w:id="7782567372414" w:name="note3"/>
            <w:r>
              <w:rPr>
                <w:rFonts w:ascii="Arial" w:hAnsi="Arial" w:eastAsia="Arial" w:cs="Arial"/>
                <w:b/>
                <w:bCs/>
                <w:color w:val="000000"/>
                <w:position w:val="0"/>
                <w:sz w:val="20"/>
                <w:szCs w:val="20"/>
              </w:rPr>
              <w:t xml:space="preserve">[3]</w:t>
            </w:r>
            <w:bookmarkEnd w:id="778256737241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Verfahren vor den Verwaltungsgerichten besteht kein
Anwaltszwang. Selbstverständlich besteht aber die Möglichkeit, sich
vertreten zu lassen (§ 83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Berufsrechtliche Vorschriften (zB § 77 Abs 11 WTBG
2017, § 8 Abs 1 RAO, § 5 Abs 4a NO), wonach die
Berufung auf eine erteilte Bevollmächtigung deren urkundlichen
Nachweis ersetzt, gelten auch im Anwendungsbereich der BAO (RV 38
BlgNR XXIV. GP, 7 zum AbgVRefG; VwGH 28.10.2014, 2012/13/0102; VwGH
30.01.2025, Ra 2024/15/0031).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Berufung auf die Vollmacht gem § 10 Abs 1 letzter
Satz AVG (Anmerkung: vergleichbar mit den obengenannten
Bestimmungen) kann etwa durch die Klausel „Vollmacht erteilt“ auf
einem Schriftsatz oder dadurch erfolgen, dass ein Rechtsmittel
„namens und auftrags meiner Mandantschaft“ eingebracht wird (VwGH
28.05.2013, 2012/05/0157 [VwSlg 18.637 A/2013]; VwGH 10.06.2024, Ra
2024/02/0115).</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060373" w:name="note4"/>
            <w:bookmarkEnd w:id="69060373"/>
            <w:bookmarkStart w:id="918152408691" w:name="note4"/>
            <w:r>
              <w:rPr>
                <w:rFonts w:ascii="Arial" w:hAnsi="Arial" w:eastAsia="Arial" w:cs="Arial"/>
                <w:b/>
                <w:bCs/>
                <w:color w:val="000000"/>
                <w:position w:val="0"/>
                <w:sz w:val="20"/>
                <w:szCs w:val="20"/>
              </w:rPr>
              <w:t xml:space="preserve">[4]</w:t>
            </w:r>
            <w:bookmarkEnd w:id="91815240869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Belangte Behörde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Belangte Behörde ist das bescheiderlassende Finanzamt. Dies kann
nach Inkrafttreten der Finanz-Organisationsreform 2020 (am 1.
Jänner 2021, vgl § 323b Abs 1 BAO idF 2. FORG
[BGBl I 99/2020]) entweder das Finanzamt Österreich (infolge
des Auffangtatbestands gem § 60 Abs 1 BAO) oder das
Finanzamt für Großbetriebe (zB infolge des Überschreitens der
Umsatz[erlös]schwelle gem § 61 Abs 1 Z 1 BAO) sein.
Beide Finanzämter sind bundesweit zuständig.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Weiters ist zu beachten, dass auch die belangte Behörde – neben
dem Beschwerdeführer – Partei des Verfahrens vor dem
Verwaltungsgericht ist (§ 265 Abs 5 BAO).</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435596" w:name="note5"/>
            <w:bookmarkEnd w:id="27435596"/>
            <w:bookmarkStart w:id="24957160763" w:name="note5"/>
            <w:r>
              <w:rPr>
                <w:rFonts w:ascii="Arial" w:hAnsi="Arial" w:eastAsia="Arial" w:cs="Arial"/>
                <w:b/>
                <w:bCs/>
                <w:color w:val="000000"/>
                <w:position w:val="0"/>
                <w:sz w:val="20"/>
                <w:szCs w:val="20"/>
              </w:rPr>
              <w:t xml:space="preserve">[5]</w:t>
            </w:r>
            <w:bookmarkEnd w:id="2495716076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Sache des verwaltungsgerichtlichen Verfahrens ist der
angefochtene Bescheid, welcher – abgesehen von der bereits
erfolgten Nennung der belangten Behörde – durch Angabe des
Bescheiddatums, des Datums der Zustellung und der Geschäftszahl
hinreichend zu konkretisieren ist (§ 250 Abs 1 lit a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Ziel der Bestimmung des § 250 Abs 1 lit a BAO ist
es, das VwG in die Lage zu versetzen, über die Beschwerde eine
Entscheidung zu treffen, sodass es für die Bezeichnung des
Bescheides genügt, dass aus dem gesamten Inhalt des Rechtsmittels
hervorgeht, wogegen es sich richtet, und das VwG aufgrund des
Beschwerdevorbringens nicht zweifeln kann, welcher Bescheid
angefochten ist. Entspricht eine Beschwerde nicht diesen
Erfordernissen, so hat die Abgabenbehörde einen
Verbesserungsauftrag zu erteilen (VwGH 15.04.2025, Fr
2025/15/0007).</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617131" w:name="note6"/>
            <w:bookmarkEnd w:id="76617131"/>
            <w:bookmarkStart w:id="5393226637761" w:name="note6"/>
            <w:r>
              <w:rPr>
                <w:rFonts w:ascii="Arial" w:hAnsi="Arial" w:eastAsia="Arial" w:cs="Arial"/>
                <w:b/>
                <w:bCs/>
                <w:color w:val="000000"/>
                <w:position w:val="0"/>
                <w:sz w:val="20"/>
                <w:szCs w:val="20"/>
              </w:rPr>
              <w:t xml:space="preserve">[6]</w:t>
            </w:r>
            <w:bookmarkEnd w:id="539322663776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Einfache Ausfertigung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 den Verwaltungsgerichten sind Schriftsätze samt Beilagen nur
in einfacher Ausfertigung erforderlich.</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440442" w:name="note7"/>
            <w:bookmarkEnd w:id="42440442"/>
            <w:bookmarkStart w:id="4354898575595" w:name="note7"/>
            <w:r>
              <w:rPr>
                <w:rFonts w:ascii="Arial" w:hAnsi="Arial" w:eastAsia="Arial" w:cs="Arial"/>
                <w:b/>
                <w:bCs/>
                <w:color w:val="000000"/>
                <w:position w:val="0"/>
                <w:sz w:val="20"/>
                <w:szCs w:val="20"/>
              </w:rPr>
              <w:t xml:space="preserve">[7]</w:t>
            </w:r>
            <w:bookmarkEnd w:id="435489857559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Beilagen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Hier ist die Anzahl allfälliger Beilagen anzugeben. Der
angefochtene Bescheid muss der Beschwerde nicht beigelegt
werden.</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016279" w:name="note8"/>
            <w:bookmarkEnd w:id="87016279"/>
            <w:bookmarkStart w:id="4221258209295" w:name="note8"/>
            <w:r>
              <w:rPr>
                <w:rFonts w:ascii="Arial" w:hAnsi="Arial" w:eastAsia="Arial" w:cs="Arial"/>
                <w:b/>
                <w:bCs/>
                <w:color w:val="000000"/>
                <w:position w:val="0"/>
                <w:sz w:val="20"/>
                <w:szCs w:val="20"/>
              </w:rPr>
              <w:t xml:space="preserve">[8]</w:t>
            </w:r>
            <w:bookmarkEnd w:id="4221258209295"/>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Beschwerdepunkte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Obwohl – anders als nach § 28 Abs 1 Z 4 VwGG –
nicht ausdrücklich gesetzlich gefordert, können an dieser Stelle
die Beschwerdepunkte angeführt werden.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beachten ist, dass sich Rechtsverletzungen (iSd Art 132
Abs 1 Z 1 B-VG) nur auf subjektiv-öffentliche Rechte –
einfachgesetzlich oder verfassungsgesetzlich gewährleistet –
beziehen können.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30 Abs 4 Z 2 EStG
gewährleisteten Rechtes, bei Grundstücken, die am 31. März 2012
ohne Berücksichtigung von Steuerbefreiungen nicht steuerverfangen
waren, und sofern nicht die Z 1 leg cit anzuwenden ist, als
Einkünfte den Unterschiedsbetrag zwischen dem Veräußerungserlös und
den mit 86 % des Veräußerungserlöses anzusetzenden
Anschaffungskosten anzusetzen.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wegen Verletzung des durch § 30 Abs 3 letzter Satz
EStG gewährleisteten Rechtes, die Einkünfte unter anderem um die
für die Mitteilung oder Selbstberechnung gem § 30c EStG
anfallenden Kosten zu vermindern.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5253162" w:name="note9"/>
            <w:bookmarkEnd w:id="75253162"/>
            <w:bookmarkStart w:id="9027658616734" w:name="note9"/>
            <w:r>
              <w:rPr>
                <w:rFonts w:ascii="Arial" w:hAnsi="Arial" w:eastAsia="Arial" w:cs="Arial"/>
                <w:b/>
                <w:bCs/>
                <w:color w:val="000000"/>
                <w:position w:val="0"/>
                <w:sz w:val="20"/>
                <w:szCs w:val="20"/>
              </w:rPr>
              <w:t xml:space="preserve">[9]</w:t>
            </w:r>
            <w:bookmarkEnd w:id="902765861673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Sachverhalt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Wenngleich die Schilderung des Sachverhaltes gesetzlich nicht
vorgeschrieben ist, wird es zweckmäßig sein, dem Gericht den
Sachverhalt aus der Perspektive des Beschwerdeführers
näherzubringen.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Weder im Verfahren vor Erlassung der Beschwerdevorentscheidung
durch die Abgabenbehörde noch im verwaltungsgerichtlichen
Beschwerdeverfahren besteht ein Neuerungsverbot (§ 270 BAO;
VwGH 20.11.2024, Ra 2024/13/0068). Es können daher auch neue
Tatsachen (erstmals) vorgebracht werden. Entsprechend hierzu können
auch neue Beweisanbote erfolgen bzw solche Beweisanbote wiederholt
werden, die im vorangegangenen Verwaltungsverfahren
unberücksichtigt geblieben sind. Ein Beweisantrag hat das
Beweisthema (die zu beweisende Tatsache) und ein Beweismittel (zB
Urkunden-, Zeugen- oder Sachverständigenbeweis) zu enthalten.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dem AbgÄG 2022 ist jedoch die die Partei treffende
Verfahrensförderungspflicht zu beachten (vgl § 270 Abs 2
BAO): Jede Partei hat ihr Vorbringen so rechtzeitig und vollständig
zu erstatten, dass das Verfahren möglichst rasch durchgeführt
werden kann.</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929221" w:name="note10"/>
            <w:bookmarkEnd w:id="45929221"/>
            <w:bookmarkStart w:id="3269468221811" w:name="note10"/>
            <w:r>
              <w:rPr>
                <w:rFonts w:ascii="Arial" w:hAnsi="Arial" w:eastAsia="Arial" w:cs="Arial"/>
                <w:b/>
                <w:bCs/>
                <w:color w:val="000000"/>
                <w:position w:val="0"/>
                <w:sz w:val="20"/>
                <w:szCs w:val="20"/>
              </w:rPr>
              <w:t xml:space="preserve">[10]</w:t>
            </w:r>
            <w:bookmarkEnd w:id="326946822181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Beschwerdebegehren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 muss ein bestimmtes Begehren enthalten, dh die
Erklärungen, „in welchen Punkten der Bescheid angefochten wird“ und
„welche Änderungen beantragt werden“ (§ 250 Abs 1
lit b und c BAO). Das Begehren kann sohin zB lauten auf die
gänzliche oder teilweise Aufhebung oder die Abänderung des
angefochtenen Bescheides. Bei Vorliegen einer Beschwerde, die
nicht den in § 250 Abs 1 BAO umschriebenen Erfordernissen
entspricht, ist nach § 85 Abs 2 BAO die Behebung dieser
inhaltlichen Mängel mit dem Hinweis aufzutragen, dass die Eingabe
nach fruchtlosem Ablauf einer gleichzeitig zu bestimmenden
angemessenen Frist als zurückgenommen gilt. Wird einem solchen
Mängelbehebungsauftrag nicht fristgerecht nachgekommen, ist die
Bescheidbeschwerde gem § 278 Abs 1 lit b BAO mit
Beschluss des VwG als zurückgenommen zu erklären (VwGH Ra
2019/16/0062).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Wird einem berechtigten behördlichen Auftrag zur Mängelbehebung
überhaupt nicht, nicht zeitgerecht oder zwar innerhalb der
gesetzten Frist, aber – gemessen an dem sich an den Vorschriften
des § 250 Abs 1 BAO orientierten Mängelbehebungsauftrag –
unzureichend entsprochen, gilt die Bescheidbeschwerde kraft
Gesetzes als zurückgenommen. Der Eintritt dieser Folge wird durch
den auf diese Rechtstatsache Bezug nehmenden, vom BFG iSd
§ 278 Abs 1 lit b BAO zu erlassenden Beschluss nicht
begründet, sondern festgestellt und kann somit durch nach
Fristablauf vorgenommene (verspätete) Mängelbehebungen nicht mehr
beseitigt werden (VwGH 23.02.2023, Ra 2022/15/0083).</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Prinzipiell hat das Verwaltungsgericht in der Sache selbst zu
entscheiden (reformatorische bzw meritorische Entscheidung;
§ 279 Abs 1 BAO). Die Aufhebung des angefochtenen
Bescheides mit anschließender Zurückverweisung an die belangte
Behörde (kassatorische Entscheidung) erfolgt nur im Ausnahmefall
(§ 278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Berufungsantrag (nunmehr: Beschwerdeantrag) iSd § 250
Abs 1 lit c BAO soll die Behörde (nunmehr: das
Verwaltungsgericht) in die Lage versetzen, klar zu erkennen, welche
Unrichtigkeit der Berufungswerber (nunmehr: Beschwerdeführer) dem
Bescheid anlastet und beseitigt wissen will. Das Vorbringen,
Abgaben seien unrichtig festgesetzt, stellt keinen ausreichenden
Berufungsantrag dar (VwGH 27.06.2013, 2010/15/0213). Das
ausdrückliche Begehren der ersatzlosen Behebung eines
Abgabenbescheids stellt dagegen eine ausreichende Erklärung iSd
§ 250 Abs 1 lit c BAO dar (VwGH 29.04.2015,
2012/13/0041).</w:t>
            </w:r>
          </w:p>
          <w:p>
            <w:pPr>
              <w:widowControl w:val="on"/>
              <w:pBdr/>
              <w:spacing w:before="0" w:after="0" w:line="288" w:lineRule="auto"/>
              <w:ind w:left="0" w:right="0"/>
              <w:jc w:val="left"/>
              <w:textAlignment w:val="top"/>
            </w:pPr>
            <w:hyperlink w:anchor="link10"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9819351" w:name="note11"/>
            <w:bookmarkEnd w:id="79819351"/>
            <w:bookmarkStart w:id="1336147485827" w:name="note11"/>
            <w:r>
              <w:rPr>
                <w:rFonts w:ascii="Arial" w:hAnsi="Arial" w:eastAsia="Arial" w:cs="Arial"/>
                <w:b/>
                <w:bCs/>
                <w:color w:val="000000"/>
                <w:position w:val="0"/>
                <w:sz w:val="20"/>
                <w:szCs w:val="20"/>
              </w:rPr>
              <w:t xml:space="preserve">[11]</w:t>
            </w:r>
            <w:bookmarkEnd w:id="133614748582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Entscheidung durch Senat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entscheidet ein Einzelrichter. Es kann jedoch die
Entscheidung durch einen Senat (§§ 272 bis 277 BAO) beantragt
werden.</w:t>
            </w:r>
          </w:p>
          <w:p>
            <w:pPr>
              <w:widowControl w:val="on"/>
              <w:pBdr/>
              <w:spacing w:before="0" w:after="0" w:line="288" w:lineRule="auto"/>
              <w:ind w:left="0" w:right="0"/>
              <w:jc w:val="left"/>
              <w:textAlignment w:val="top"/>
            </w:pPr>
            <w:hyperlink w:anchor="link1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535558" w:name="note12"/>
            <w:bookmarkEnd w:id="12535558"/>
            <w:bookmarkStart w:id="5319558338524" w:name="note12"/>
            <w:r>
              <w:rPr>
                <w:rFonts w:ascii="Arial" w:hAnsi="Arial" w:eastAsia="Arial" w:cs="Arial"/>
                <w:b/>
                <w:bCs/>
                <w:color w:val="000000"/>
                <w:position w:val="0"/>
                <w:sz w:val="20"/>
                <w:szCs w:val="20"/>
              </w:rPr>
              <w:t xml:space="preserve">[12]</w:t>
            </w:r>
            <w:bookmarkEnd w:id="531955833852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Öffentliche mündliche Verhandlung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Unter anderem über Antrag des Beschwerdeführers findet eine
mündliche Verhandlung statt, die idR auch öffentlich ist
(§§ 274, 275 BAO). Gem § 274 Abs 1 BAO hat über
die Beschwerde eine mündliche Verhandlung ua dann stattzufinden,
wenn es in der Beschwerde beantragt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 nach § 24 Abs 4 VwGVG vergleichbare Möglichkeit
des Absehens von der Durchführung einer mündlichen Verhandlung,
ungeachtet eines diesbezüglichen Parteienantrags, kennt § 274
BAO nicht (VwGH 09.02.2022, Ra 2021/13/0137; VwGH 26.03.2025, Ra
2023/13/0022).</w:t>
            </w:r>
          </w:p>
          <w:p>
            <w:pPr>
              <w:widowControl w:val="on"/>
              <w:pBdr/>
              <w:spacing w:before="0" w:after="0" w:line="288" w:lineRule="auto"/>
              <w:ind w:left="0" w:right="0"/>
              <w:jc w:val="left"/>
              <w:textAlignment w:val="top"/>
            </w:pPr>
            <w:hyperlink w:anchor="link1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689807" w:name="note13"/>
            <w:bookmarkEnd w:id="61689807"/>
            <w:bookmarkStart w:id="464283652512" w:name="note13"/>
            <w:r>
              <w:rPr>
                <w:rFonts w:ascii="Arial" w:hAnsi="Arial" w:eastAsia="Arial" w:cs="Arial"/>
                <w:b/>
                <w:bCs/>
                <w:color w:val="000000"/>
                <w:position w:val="0"/>
                <w:sz w:val="20"/>
                <w:szCs w:val="20"/>
              </w:rPr>
              <w:t xml:space="preserve">[13]</w:t>
            </w:r>
            <w:bookmarkEnd w:id="46428365251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Verfahrenshilfe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Anfang 2017 ist dem Beschwerdeführer gem § 292 BAO auf
Antrag Verfahrenshilfe zu bewilligen, soweit</w:t>
            </w:r>
          </w:p>
          <w:p>
            <w:pPr>
              <w:numPr>
                <w:ilvl w:val="0"/>
                <w:numId w:val="63887383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 entscheidende Rechtsfragen besondere Schwierigkeiten
rechtlicher Art (zB überdurchschnittlich schwierige, durch ständige
Judikatur noch nicht geklärte, Rechtsfragen) aufweisen und</w:t>
            </w:r>
          </w:p>
          <w:p>
            <w:pPr>
              <w:numPr>
                <w:ilvl w:val="0"/>
                <w:numId w:val="63887383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Partei außerstande ist, die Kosten der Führung des
Verfahrens ohne Beeinträchtigung des notwendigen Unterhalts (das
ist derjenige Unterhalt, den die Partei für sich und ihre Familie,
für deren Unterhalt sie zu sorgen hat, zu einer einfachen
Lebensführung benötigt) zu bestreiten und</w:t>
            </w:r>
          </w:p>
          <w:p>
            <w:pPr>
              <w:numPr>
                <w:ilvl w:val="0"/>
                <w:numId w:val="63887383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(dh, dass sich die Partei der
Unrichtigkeit ihres Standpunktes bewusst ist oder bewusst sein
muss) oder aussichtslos (insbesondere bei Unschlüssigkeit des
Begehrens oder bei unbehebbarem Beweisnotstand)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Einer juristischen Person ist die Verfahrenshilfe insoweit zu
bewilligen, als</w:t>
            </w:r>
          </w:p>
          <w:p>
            <w:pPr>
              <w:numPr>
                <w:ilvl w:val="0"/>
                <w:numId w:val="1942769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zur Führung des Verfahrens erforderlichen Mittel weder von
ihr noch von den an der Führung des Verfahrens wirtschaftlich
Beteiligten (das ist eine Person, auf deren Vermögenssphäre sich
der Ausgang des Beschwerdeverfahrens nicht ganz unerheblich
auswirkt und bei der es – auch aus diesem Grund – als zumutbar
angesehen werden kann, von dieser Person eine Finanzierung der
Verfahrenskosten zu verlangen, zB GmbH-Gesellschafter [BFG
28.03.2017, VH/7100006/2017]) aufgebracht werden können und</w:t>
            </w:r>
          </w:p>
          <w:p>
            <w:pPr>
              <w:numPr>
                <w:ilvl w:val="0"/>
                <w:numId w:val="19427692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beabsichtigte Rechtsverfolgung oder Rechtsverteidigung
nicht als offenbar mutwillig oder aussichtslos erscheint.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Verfahrenshilfe umfasst vor allem die Befreiung von anfallenden
Gebühren und die unentgeltliche Beigebung eines Rechtsanwalts oder
Steuerberaters (je nach Wahl des Antragstellers).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Antrag auf Bewilligung der Verfahrenshilfe hat den in
§ 292 Abs 8 BAO normierten Inhaltserfordernissen zu
entsprechen und ist bis zur Vorlage der Bescheidbeschwerde bei der
Abgabenbehörde, ab Vorlage beim Verwaltungsgericht einzubringen.
Über ihn entscheidet das Verwaltungsgericht. Wünschen der Partei
über die Auswahl der Person des Wirtschaftstreuhänders oder
Rechtsanwaltes ist nach Möglichkeit zu entsprechen.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Prüfung der Frage, ob die Kosten der Führung des Verfahrens
ohne Beeinträchtigung des notwendigen Unterhalts aufgebracht werden
können, ist eine Schätzung der aufseiten des Antragstellers
voraussichtlich anfallenden Kosten unerlässlich, wobei (…) ein
durchschnittlicher Verfahrensablauf anzunehmen ist (VwGH
25.04.2019, Ra 2017/13/0061).</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Antrag auf Bewilligung der Verfahrenshilfe beim BFG samt
Merkblatt:</w:t>
            </w:r>
          </w:p>
          <w:p>
            <w:pPr>
              <w:widowControl w:val="on"/>
              <w:pBdr/>
              <w:spacing w:before="0" w:after="0" w:line="288" w:lineRule="auto"/>
              <w:ind w:left="0" w:right="0"/>
              <w:jc w:val="left"/>
              <w:textAlignment w:val="top"/>
            </w:pPr>
            <w:hyperlink r:id="rId71466ababa62f3f98" w:history="1">
              <w:r>
                <w:rPr>
                  <w:rFonts w:ascii="Arial" w:hAnsi="Arial" w:eastAsia="Arial" w:cs="Arial"/>
                  <w:color w:val="006BB6"/>
                  <w:position w:val="0"/>
                  <w:sz w:val="20"/>
                  <w:szCs w:val="20"/>
                </w:rPr>
                <w:t xml:space="preserve">https://www.bfg.gv.at/verfahren.html</w:t>
              </w:r>
            </w:hyperlink>
          </w:p>
          <w:p>
            <w:pPr>
              <w:widowControl w:val="on"/>
              <w:pBdr/>
              <w:spacing w:before="0" w:after="0" w:line="288" w:lineRule="auto"/>
              <w:ind w:left="0" w:right="0"/>
              <w:jc w:val="left"/>
              <w:textAlignment w:val="top"/>
            </w:pPr>
            <w:hyperlink w:anchor="link1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991279" w:name="note14"/>
            <w:bookmarkEnd w:id="15991279"/>
            <w:bookmarkStart w:id="6455992931083" w:name="note14"/>
            <w:r>
              <w:rPr>
                <w:rFonts w:ascii="Arial" w:hAnsi="Arial" w:eastAsia="Arial" w:cs="Arial"/>
                <w:b/>
                <w:bCs/>
                <w:color w:val="000000"/>
                <w:position w:val="0"/>
                <w:sz w:val="20"/>
                <w:szCs w:val="20"/>
              </w:rPr>
              <w:t xml:space="preserve">[14]</w:t>
            </w:r>
            <w:bookmarkEnd w:id="645599293108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Beschwerdegründe – Beispiele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sind die Beschwerdegründe anzugeben (§ 250 Abs 1
lit d BAO). Zum insofern vergleichbaren § 9 Abs 1
Z 3 VwGVG wurde ausgesprochen, dass darunter die Begründung
der Rechtswidrigkeit des angefochtenen Verwaltungsaktes infolge
Verfahrensfehler, materieller Rechtswidrigkeit oder Unzuständigkeit
zu verstehen ist (VwGH 13.09.2017, Ra 2016/12/0053; VwGH
20.06.2024, Ra 2022/04/0152).</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Beispiele für (tatsächliche, vermeintliche und mögliche)
Rechtsverletzungen und ihre Begründungen: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Maßgeblichkeit des Verpflichtungsgeschäfts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neue Rechtslage nach dem 1. StabG 2012 für private
Grundstücksveräußerungen ist „erstmals für Veräußerungen nach dem
31. März 2012“ anzuwenden, wobei nach den Erläuterungen (RV 1680
BlgNR XXIV. GP, 7) „für die zeitliche Anknüpfung wie bisher bei
Spekulationsgeschäften auf das Verpflichtungsgeschäft abgestellt
werden“ soll. Das Vorliegen eines bloßen Vorvertrages – der selbst
noch keine Verpflichtung zur Übereignung eines Grundstücks, sondern
lediglich eine bloße Verpflichtung zum späteren Abschluss eines
Kaufvertrages begründet – reicht dafür jedoch nicht aus (VwGH
03.04.2019, Ra 2017/15/0098).</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„am 31. März 2012 nicht steuerverfangen“
(Altgrundstücke)</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Ein Grundstück gilt als „am 31. März 2012 nicht steuerverfangen“
iSd § 30 Abs 4 EStG, wenn an diesem Tag die (Anm:
zehnjährige) Spekulationsfrist iSd § 30 Abs 1 Z 1
lit a EStG idF vor 1. StabG 2012 abgelaufen war (VwGH
18.10.2018, Ro 2016/15/0013; VwGH 14.09.2020, Ra 2019/15/0146).</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Altvermögenseigenschaft eines Grundstückes ist gem § 30
Abs 4 iVm Abs 1 EStG grundstücksbezogen zu sehen, weil
die Beurteilung, ob Altvermögen vorliegt, unter Einbeziehung der
Umstände des Rechtsvorgängers zu beurteilen ist und unentgeltliche
Übertragungsvorgänge zwischen der erstmaligen entgeltlichen
Anschaffung und der Veräußerung unbeachtlich sind. Bei
unentgeltlicher Übertragung übernimmt der Rechtsnachfolger daher
die Altvermögenseigenschaft des Grundstückes. Da fiktive
Anschaffungskosten ausschließlich bei Altvermögen zum Ansatz kommen
können (§ 16 Abs 1 Z 8 lit c EStG), sind bei
der Beurteilung, ob die Voraussetzungen für solche vorliegen,
demnach auch die Umstände des Rechtsvorgängers miteinzubeziehen
(VwGH 22.02.2024, Ra 2022/13/0086).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Absetzung für Abnutzung bei Neu- und
Altgründstücken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Durch das AbgÄG 2012 wurde für Neuvermögen der Ansatz der
fiktiven Anschaffungskosten generell ausgeschlossen. Solche Gebäude
können nur nach § 16 Abs 1 Z 8 lit a EStG mit
den historischen Anschaffungskosten angesetzt oder nach der
lit b leg cit die Abschreibung des Rechtsvorgängers
fortgesetzt werden. Für Altvermögen iSd § 30 Abs 4 EStG
hat der Gesetzgeber eine Ausnahme in § 16 Abs 1 Z 8
lit c EStG geschaffen, wonach die fiktiven Anschaffungskosten
dann anzusetzen sind, wenn das Grundstück erstmalig zur
Einkünfteerzielung verwendet wird. Von der Bestimmung sind – da nur
auf das Grundstück abgestellt wird – sowohl entgeltliche als auch
unentgeltliche Erwerbe von Altvermögen erfasst. (…) Der Umstand der
erstmaligen Verwendung bezieht sich auf das Grundstück und nicht
auf die Person (VwGH 22.02.2024, Ra 2022/13/0086).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Anschaffung, Veräußerung und wirtschaftliches
Eigentum</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Unter Anschaffung und Veräußerung iSd § 30 EStG (idF vor 1.
StabG 2012) sind bei der privaten Grundstücksveräußerung die
schuldrechtlichen, auf die Eigentumsübertragung ausgerichteten
Rechtsgeschäfte zu verstehen. Für die Berechnung der
Spekulationsfrist ist daher der Zeitpunkt des Zustandekommens
dieser schuldrechtlichen Rechtsgeschäfte – insbesondere
Kaufverträge – maßgeblich. Allerdings kommt es ausnahmsweise nicht
auf den Zeitpunkt eines solchen Rechtsgeschäftes an, wenn die
Vertragsparteien bereits vorher eine Vereinbarung geschlossen
haben, aufgrund derer das wirtschaftliche Eigentum übergegangen ist
(VwGH 14.09.2020, Ra 2019/15/0146).</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VwGH hat sich vielfach mit der Frage auseinandergesetzt,
unter welchen Voraussetzungen vom Vorliegen wirtschaftlichen
Eigentums ausgegangen werden kann (…). Nach dieser Rechtsprechung
bedarf es dazu einer beide Vertragsparteien bindenden, einen
späteren Kaufvertrag wirtschaftlich vorwegnehmenden Vereinbarung,
sodass insbesondere die Chance von Wertsteigerungen und die Gefahr
von Wertminderungen übergegangen sind. Ein (auch unwiderrufliches)
Kaufanbot oder eine bloße Kaufoption sind hierfür nicht ausreichend
(VwGH 14.09.2020, Ra 2019/15/0146 mwN).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Kaufoption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Option ist ein Vertrag, durch den eine Partei das Recht
erhält, ein inhaltlich vorausbestimmtes Schuldverhältnis in Geltung
zu setzen. Sie gewährt also ein Gestaltungsrecht, durch einseitige
Erklärung das schon inhaltlich festgelegte Schuldverhältnis in
Geltung zu setzen. Zur abgabenrechtlichen Einordnung von Miet- oder
Leasingverträgen mit Kaufoption ist entscheidend, ob der Mieter
oder Leasingnehmer mit der Überlassung des Mietgegenstandes oder
Leasinggutes bereits dessen wirtschaftlicher Eigentümer iSd
§ 24 Abs 1 lit d BAO wird. Hierfür ist es
insbesondere von Bedeutung, wer die Chance von Wertsteigerungen und
das Risiko von Wertminderungen trägt. Auch ist zu prüfen, ob die
Optionsausübung die einzige wirtschaftlich rationale Möglichkeit
für den Mieter oder Leasingnehmer darstellt (VwGH 24.10.2019, Ro
2019/15/0177).</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Im konkreten Fall war nur die Vermieterin und Optionsgeberin
gebunden; der Mieter und Optionsnehmer konnte hingegen frei
entscheiden, ob er die ihm eingeräumte Option ausüben werde oder
nicht. (…) Dass die Ausübung der Option die einzige wirtschaftlich
rationale Möglichkeit gewesen wäre, ist nicht erkennbar. Der Mieter
konnte das Objekt zu dem bereits im Optionsvertrag vereinbarten
Kaufpreis erwerben; damit kamen die Chancen der Wertsteigerung ihm
zu. Da er aber die Option nicht ausüben musste, trug er nicht das
Risiko der Wertminderung. Schließlich war aufgrund der
Optionsvereinbarung (und des Mietvertrages) auch nicht festgelegt,
wer die Liegenschaft erwerben würde, konnte die Option doch von
beiden Optionsnehmern oder auch nur von einem „angenommen“ (also
ausgeübt) werden. Damit stand aber auch insoweit nicht fest, in
wessen Vermögen es zu einer Wertsteigerung (oder allenfalls
Wertminderung) kommen würde. Es ist somit offenkundig, dass der
Mietvertrag samt Optionsvertrag nicht jene Vereinbarung ist, die
die Übertragung (zumindest) des wirtschaftlichen Eigentums an der
Liegenschaft bewirkte (VwGH 24.10.2019, Ro 2019/15/0177).</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Nachträglich errichtetes Gebäude und
Spekulationsfrist</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Nach ständiger Rechtsprechung entsteht durch den Bau eines
Gebäudes auf eigenem Grund und Boden aus Sicht des § 30 EStG
kein neues Wirtschaftsgut. Ein Grundstück, das als unbebaut
erworben und auf dem sodann ein Haus errichtet wird, bleibt
ungeachtet dessen, dass es nun als bebaut zu gelten hat, dieselbe
Sache. Wird ein Grundstück nach seiner Anschaffung bebaut, beginnt
die Spekulationsfrist des § 30 Abs 1 lit a EStG idF
vor 1. StabG 2012 bereits mit der Anschaffung des Grundstücks zu
laufen. Durch die Errichtung eines Gebäudes beginnt keine neue
Frist zu laufen. Auch eine gesonderte Frist für das Gebäude wird
nicht in Lauf gesetzt. Wenn § 30 Abs 4 EStG von
Grundstücken spricht, die am 31. März 2012 nicht (mehr)
steuerverfangen waren, kann demzufolge nur entscheidend sein, ob
hinsichtlich des nach dem 31. März 2012 verkauften Grundstückes zum
31. März 2012 bereits die Spekulationsfrist abgelaufen war oder
nicht. Der Bebauung des Grundstücks kommt hingegen keine Relevanz
für die Frage der Steuerverfangenheit eines Grundstücks zu. Vor
Ablauf der Spekulationsfrist war ein bebautes Grundstück als Ganzes
„steuerverfangen“, nach Ablauf der Spekulationsfrist unterlag das
bebaute Grundstück hingegen selbst für den Fall, dass die
Errichtung des Gebäudes erst kurze Zeit vor der Veräußerung erfolgt
sein sollte, zur Gänze nicht der Steuerpflicht nach § 30 EStG
idF vor 1. StabG 2012 (VwGH 18.10.2018, Ro 2016/15/0013).</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Erstmals eine Bebauung ermöglichende Umwidmung
(§ 30 Abs 4 Z 1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 30 Abs 4 Z 1 EStG stellt auf Umwidmungen ab,
die erstmals eine Bebauung ermöglichen. Widmungen, die für die
tatsächliche Bebauung eine (weitere) Umwidmung oder eine
Ausnahmegenehmigung erfordern, stellen keine Umwidmung iSd
§ 30 Abs 4 Z 1 EStG dar. Eine Umwidmung iSd
§ 30 Abs 4 Z 1 EStG ist in diesen Fällen (…) erst
dann gegeben, wenn eine spätere Widmungsänderung erstmals
tatsächlich eine Bebauung ermöglicht (VwGH 05.03.2025, Ra
2023/15/0046).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Enger wirtschaftlicher Zusammenhang (§ 30
Abs 4 Z 1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Der in § 30 Abs 4 Z 1 letzter Satz erster
Halbsatz EStG geforderte enge wirtschaftliche Zusammenhang zwischen
Veräußerung und Umwidmung ergibt sich in der Regel aus dem
vereinbarten Kaufpreis (VwGH 19.05.2020, Ro 2018/13/0015).</w:t>
            </w:r>
          </w:p>
          <w:p>
            <w:pPr>
              <w:widowControl w:val="on"/>
              <w:pBdr/>
              <w:spacing w:before="0" w:after="0" w:line="288" w:lineRule="auto"/>
              <w:ind w:left="0" w:right="0"/>
              <w:jc w:val="left"/>
              <w:textAlignment w:val="top"/>
            </w:pPr>
            <w:r>
              <w:rPr>
                <w:rFonts w:ascii="Arial" w:hAnsi="Arial" w:eastAsia="Arial" w:cs="Arial"/>
                <w:b/>
                <w:bCs/>
                <w:color w:val="277DB9"/>
                <w:position w:val="0"/>
                <w:sz w:val="22"/>
                <w:szCs w:val="22"/>
              </w:rPr>
              <w:t xml:space="preserve">Verkauf von teilweise umgewidmeten Grundflächen des
Altvermögens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Rechtslage erfordert beim Verkauf von teilweise umgewidmeten
Grundflächen des Altvermögens für die Bestimmung der anzusetzenden
Anschaffungskosten eine Aufteilung bzw Zuordnung des erzielten
Veräußerungserlöses zu den jeweiligen Teilflächen. Die Methode der
Aufteilung nach den Sachwertverhältnissen hat der VwGH in seiner
Rechtsprechung bereits mehrfach als unbedenklichen und
sachgerechten Aufteilungsmaßstab von Gesamtkaufpreisen im
Zusammenhang mit Grundstücken angesehen (vgl zu Waldverkäufen auch
VwGH 24.06.2003, 2003/14/0027, sowie zur Aufteilung von Grund und
Boden einerseits und Gebäuden andererseits zuletzt VwGH 24.04.2024,
Ro 2022/15/0044, mwN). Die Sachwertmethode berücksichtigt dabei
auch, dass aufgrund wechselseitiger Wertbeeinflussung der
höherwertige Teil auch wertbestimmend für den weniger werthaltigen
verbundenen Teil ist und dessen Wert positiv mitbeeinflusst. Ein
Grünlandteil wird verbunden mit einem Baulandteil am Markt einen
höheren Wert erzielen, als wenn beide Teile unverbunden veräußert
würden. Ein überzahlter (über dem Marktwert des Grundstücks
liegender) Veräußerungserlös („Liebhaberpreis“) wird durch die
Sachwertmethode stärker dem höherwertigen Grundstücksteil
zugerechnet als bei einer linearen Aufteilung. Dieser Gedanke trägt
auch bei teilumgewidmeten Grundstücken, weil die Umwidmung im
Allgemeinen den nicht umgewidmeten Flächenteil in seiner
Wertentwicklung positiv mitbeeinflusst (VwGH 05.03.2025, Ra
2023/15/0117).</w:t>
            </w:r>
          </w:p>
          <w:p>
            <w:pPr>
              <w:widowControl w:val="on"/>
              <w:pBdr/>
              <w:spacing w:before="0" w:after="0" w:line="288" w:lineRule="auto"/>
              <w:ind w:left="0" w:right="0"/>
              <w:jc w:val="left"/>
              <w:textAlignment w:val="top"/>
            </w:pPr>
            <w:r>
              <w:rPr>
                <w:rFonts w:ascii="Arial" w:hAnsi="Arial" w:eastAsia="Arial" w:cs="Arial"/>
                <w:b/>
                <w:bCs/>
                <w:color w:val="277DB9"/>
                <w:position w:val="0"/>
                <w:sz w:val="22"/>
                <w:szCs w:val="22"/>
              </w:rPr>
              <w:t xml:space="preserve">Sachwertmethode</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Aufteilung des (Ver)Kaufspreises einer bebauten Liegenschaft
ist grundsätzlich nach der Methode des Sachwertverhältnisses
vorzunehmen, wobei jeweils der Verkehrswert des bloßen Grund und
Bodens einerseits und des Gebäudes andererseits zu schätzen und der
Kaufpreis im Verhältnis dieser Werte aufzuteilen ist (VwGH
24.04.2024, Ro 2022/15/0044).</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Vorschreibung und Korrektur im Wege der
Veranlagung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Nach der ständigen Rechtsprechung hat eine Vorschreibung der
Immobilienertragsteuer durch das Finanzamt im
Einkommensteuerbescheid zu erfolgen; auch die Korrektur des vom
Parteienvertreter selbstberechneten Betrages an
Immobilienertragsteuer hat somit im Wege der Veranlagung zur
Einkommensteuer (bzw gegebenenfalls Körperschaftsteuer) zu
erfolgen. Die (gesonderte) Festsetzung der Immobilienertragsteuer
(durch einen Bescheid nach § 201 BAO) ist nicht zulässig (VwGH
14.09.2020, Ra 2019/15/0146).</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Ergebnisse aus der Konvertierung von
Fremdwährungsverbindlichkeiten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Wenn auch nunmehr (idF StRefG 2015/2016) im Rahmen der
Immobilienertragsbesteuerung bei Ausübung der
Regelbesteuerungsoption Werbungskosten – über die in § 30
Abs 3 EStG aufgezählten Kosten und Minderbeträge hinaus – zu
berücksichtigen sind, so können aber Ergebnisse aus der
Konvertierung von Fremdwährungsverbindlichkeiten weiterhin nicht
abgezogen werden, da diese in keinem wirtschaftlichen Zusammenhang
mit den Einkünften aus der Veräußerung des Grundstückes stehen (vgl
auch VfGH 29.11.2014, G137/2014). Die Ergebnisse aus der
Konvertierung sind im außerbetrieblichen Bereich weiterhin als
Spekulationseinkünfte zu behandeln (VwGH 24.10.2019, Ra
2018/15/0114).</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Veräußerung eines geerbten Grundstücks</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Die Verpflichtung, Ansprüche von Pflichtteilsberechtigten zu
erfüllen, stellt keinen abzugsfähigen Aufwand dar (BFG 22.08.2014,
RV/7100616/2014).</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Anwendung des § 30 EStG für Körperschaften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VwGH 25.05.2022, Ra 2022/15/0009:</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Durch § 7 Abs 2 KStG ist die Regelung des § 30
EStG auch für Körperschaften anwendbar. § 24 Abs 3
Z 4 KStG schließt nur die Anwendbarkeit der §§ 30b und
30c EStG (auf Körperschaften iSd § 7 Abs 3 KStG) aus. Der
Tatbestand des § 30 EStG erfasst Veräußerungsgeschäfte von
Grundstücken, soweit sie keinem Betriebsvermögen angehören.
Darunter fällt – im Hinblick auf § 7 Abs 2 KStG – auch
die Veräußerung von Grundstücken, die sich im außerbetrieblichen
Vermögen einer Körperschaft befinden. (…) Solcherart kommt es auch
nicht darauf an, ob die laufende Bewirtschaftung (insbesondere
Vermietung) der Immobilie – vor ihrer Veräußerung –
ertragsteuerlich als Liebhaberei zu beurteilen war.</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Grundstücksgleiche Rechte (§ 30 Abs 1 EStG),
Grunddienstbarkeiten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VwGH 10.09.2020, Ra 2019/15/0066:</w:t>
            </w:r>
          </w:p>
          <w:p>
            <w:pPr>
              <w:numPr>
                <w:ilvl w:val="0"/>
                <w:numId w:val="704565785"/>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Daraus (Anmerkung: aus den erläuternden Bemerkungen des
Gesetzgebers) ist abzuleiten, dass im Rahmen der
Einkommensbesteuerung der Immobilienveräußerung das Gesetz nur
solche Rechte als „grundstücksgleiche Rechte“ verstanden wissen
will, die isoliert veräußert werden können, was voraussetzt, dass
solche Rechte eigenständig übertragbar sein müssen. (…) Ausgehend
von diesen Kriterien ist (nur) das Baurecht als grundstücksgleiches
Recht iSd § 30 Abs 1 zweiter Satz EStG anzusehen.</w:t>
            </w:r>
          </w:p>
          <w:p>
            <w:pPr>
              <w:numPr>
                <w:ilvl w:val="0"/>
                <w:numId w:val="704565785"/>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Aus steuerlicher Sicht ist das Wohnungseigentumsrecht nicht als
„grundstücksgleiches Recht“ zu behandeln; die Veräußerung einer
Eigentumswohnung hat die Rechtsprechung (…) stets als Veräußerung
eines bebauten Grundstücks gewertet.</w:t>
            </w:r>
          </w:p>
          <w:p>
            <w:pPr>
              <w:numPr>
                <w:ilvl w:val="0"/>
                <w:numId w:val="704565785"/>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Grunddienstbarkeiten können nur mit dem Eigentum am Grundstück
– nicht gesondert davon – übertragen werden (§ 485 ABGB).
Diese Rechte erhöhen den Wert des Grund und Bodens, mit dem sie
verbunden sind, und finden daher typischerweise in der Höhe seines
Verkaufserlöses Niederschlag. (…) Im Rahmen der Besteuerung der
Grundstücksveräußerungen sind daher Grunddienstbarkeiten des
berechtigten Grundstücks als unselbständige Bestandteile des Grund
und Bodens anzusehen. Der (allenfalls) auf solche Rechte
entfallende Teil des Veräußerungserlöses ist somit für Zwecke der
Besteuerung der Grundstücksveräußerung nicht aus der
Bemessungsgrundlage auszuscheiden, sondern vielmehr dem Grund und
Boden zuzuordnen und teilt das steuerliche Schicksal des aufgrund
und Boden entfallenden Kaufpreises.</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Veräußerungserlös (§ 30 Abs 3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Zum Veräußerungserlös (§ 30 Abs 3 EStG) gehören alle
wirtschaftlichen Vorteile (wie etwa vom Erwerber übernommene
Verbindlichkeiten), die dem Veräußerer aus der Veräußerung
erwachsen (…). Der grunderwerbsteuerliche Begriff der Gegenleistung
gem § 5 GrEStG hat in diesem Zusammenhang – zumal dieser
Begriff auf den Erwerber des Grundstücks und nicht auf den
Überträger abstellt (…) – keine Bedeutung (VwGH 02.04.2025, Ra
2023/13/0183 mwN).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Beispiel: Planungskosten als Herstellungsaufwendungen (§ 30
Abs 3 EStG)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VwGH 22.12.2021, Ro 2021/13/0005:</w:t>
            </w:r>
          </w:p>
          <w:p>
            <w:pPr>
              <w:numPr>
                <w:ilvl w:val="0"/>
                <w:numId w:val="890501732"/>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Herstellen bedeutet das Hervorbringen bzw das
Hervorbringen-Lassen eines bisher noch nicht existenten
Wirtschaftsgutes. Die Herstellung ist ein Vorgang, der nicht in
einem Zeitpunkt vor sich geht, sondern in einem bestimmten
Zeitraum. Dieser beginnt mit dem Setzen von Maßnahmen, die darauf
gerichtet sind, ein Wirtschaftsgut neu zu schaffen oder die
Wesensart eines bestehenden Wirtschaftsgutes zu verändern (…).
Herstellungskosten sind Aufwendungen, die getätigt werden, um ein
Wirtschaftsgut neuer Art hervorzubringen; die Aktivierung der
Herstellungskosten hält den Herstellungsvorgang gewinnneutral (…)
(VwGH 24.02.2021, Ro 2019/15/0006).</w:t>
            </w:r>
          </w:p>
          <w:p>
            <w:pPr>
              <w:numPr>
                <w:ilvl w:val="0"/>
                <w:numId w:val="890501732"/>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Nach der Rechtsprechung sind Planungskosten als Teil der
Herstellungskosten des fertiggestellten Wirtschaftsguts zu
aktivieren (…). Selbst vergebliche Planungskosten zählen zu den
Herstellungskosten des schlussendlich auf demselben Grundstück
errichteten Gebäudes, wenn davon auszugehen ist, dass die
ursprüngliche Planung der – wenn auch wesentlich – geänderten
Bauausführung in baurechtlicher, statistischer und
architektonischer Hinsicht gedient hat (…) (VwGH 24.02.2021, Ro
2019/15/0006).</w:t>
            </w:r>
          </w:p>
          <w:p>
            <w:pPr>
              <w:numPr>
                <w:ilvl w:val="0"/>
                <w:numId w:val="890501732"/>
              </w:numPr>
              <w:spacing w:before="0" w:after="0" w:line="288" w:lineRule="auto"/>
              <w:jc w:val="left"/>
              <w:rPr>
                <w:rFonts w:ascii="Arial" w:hAnsi="Arial" w:eastAsia="Arial" w:cs="Arial"/>
                <w:color w:val="277DB9"/>
                <w:sz w:val="20"/>
                <w:szCs w:val="20"/>
              </w:rPr>
            </w:pPr>
            <w:r>
              <w:rPr>
                <w:rFonts w:ascii="Arial" w:hAnsi="Arial" w:eastAsia="Arial" w:cs="Arial"/>
                <w:color w:val="277DB9"/>
                <w:position w:val="0"/>
                <w:sz w:val="20"/>
                <w:szCs w:val="20"/>
              </w:rPr>
              <w:t xml:space="preserve">Unterbleibt hingegen die Errichtung des zunächst geplanten
Gebäudes gänzlich, sind die – somit vergeblichen – Planungskosten
mangels Vorliegens eines Herstellungsvorganges keine
Herstellungskosten. Sie fallen damit nicht unter die gem § 30
Abs 3 EStG bei Ermittlung der Einkünfte aus privaten
Grundstücksveräußerungen die Anschaffungskosten des Grundstücks
erhöhenden Herstellungsaufwendungen.</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Schließlich sind auch allfällige weitere Anträge zu
begründen.</w:t>
            </w:r>
          </w:p>
          <w:p>
            <w:pPr>
              <w:widowControl w:val="on"/>
              <w:pBdr/>
              <w:spacing w:before="0" w:after="0" w:line="288" w:lineRule="auto"/>
              <w:ind w:left="0" w:right="0"/>
              <w:jc w:val="left"/>
              <w:textAlignment w:val="top"/>
            </w:pPr>
            <w:hyperlink w:anchor="link1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853211" w:name="note15"/>
            <w:bookmarkEnd w:id="61853211"/>
            <w:bookmarkStart w:id="236309345564" w:name="note15"/>
            <w:r>
              <w:rPr>
                <w:rFonts w:ascii="Arial" w:hAnsi="Arial" w:eastAsia="Arial" w:cs="Arial"/>
                <w:b/>
                <w:bCs/>
                <w:color w:val="000000"/>
                <w:position w:val="0"/>
                <w:sz w:val="20"/>
                <w:szCs w:val="20"/>
              </w:rPr>
              <w:t xml:space="preserve">[15]</w:t>
            </w:r>
            <w:bookmarkEnd w:id="2363093455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Frist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Beschwerdefrist beträgt grundsätzlich einen Monat ab
Bekanntgabe iSd § 97 BAO. Sie ist auf Antrag von der
Abgabenbehörde aus berücksichtigungswürdigen Gründen,
erforderlichenfalls auch wiederholt, zu verlängern. Durch einen
Antrag auf Fristverlängerung wird der Lauf der Beschwerdefrist
gehemmt (§ 245 Abs 1 und 3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Tage des Postlaufes werden in die Frist nicht eingerechnet
(§ 108 Abs 4 BAO).</w:t>
            </w:r>
          </w:p>
          <w:p>
            <w:pPr>
              <w:widowControl w:val="on"/>
              <w:pBdr/>
              <w:spacing w:before="0" w:after="0" w:line="288" w:lineRule="auto"/>
              <w:ind w:left="0" w:right="0"/>
              <w:jc w:val="left"/>
              <w:textAlignment w:val="top"/>
            </w:pPr>
            <w:hyperlink w:anchor="link1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050173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0456578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9427692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3887383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8018049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055505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209906">
    <w:multiLevelType w:val="hybridMultilevel"/>
    <w:lvl w:ilvl="0" w:tplc="18635959">
      <w:start w:val="1"/>
      <w:numFmt w:val="decimal"/>
      <w:lvlText w:val="%1."/>
      <w:lvlJc w:val="left"/>
      <w:pPr>
        <w:ind w:left="720" w:hanging="360"/>
      </w:pPr>
    </w:lvl>
    <w:lvl w:ilvl="1" w:tplc="18635959" w:tentative="1">
      <w:start w:val="1"/>
      <w:numFmt w:val="lowerLetter"/>
      <w:lvlText w:val="%2."/>
      <w:lvlJc w:val="left"/>
      <w:pPr>
        <w:ind w:left="1440" w:hanging="360"/>
      </w:pPr>
    </w:lvl>
    <w:lvl w:ilvl="2" w:tplc="18635959" w:tentative="1">
      <w:start w:val="1"/>
      <w:numFmt w:val="lowerRoman"/>
      <w:lvlText w:val="%3."/>
      <w:lvlJc w:val="right"/>
      <w:pPr>
        <w:ind w:left="2160" w:hanging="180"/>
      </w:pPr>
    </w:lvl>
    <w:lvl w:ilvl="3" w:tplc="18635959" w:tentative="1">
      <w:start w:val="1"/>
      <w:numFmt w:val="decimal"/>
      <w:lvlText w:val="%4."/>
      <w:lvlJc w:val="left"/>
      <w:pPr>
        <w:ind w:left="2880" w:hanging="360"/>
      </w:pPr>
    </w:lvl>
    <w:lvl w:ilvl="4" w:tplc="18635959" w:tentative="1">
      <w:start w:val="1"/>
      <w:numFmt w:val="lowerLetter"/>
      <w:lvlText w:val="%5."/>
      <w:lvlJc w:val="left"/>
      <w:pPr>
        <w:ind w:left="3600" w:hanging="360"/>
      </w:pPr>
    </w:lvl>
    <w:lvl w:ilvl="5" w:tplc="18635959" w:tentative="1">
      <w:start w:val="1"/>
      <w:numFmt w:val="lowerRoman"/>
      <w:lvlText w:val="%6."/>
      <w:lvlJc w:val="right"/>
      <w:pPr>
        <w:ind w:left="4320" w:hanging="180"/>
      </w:pPr>
    </w:lvl>
    <w:lvl w:ilvl="6" w:tplc="18635959" w:tentative="1">
      <w:start w:val="1"/>
      <w:numFmt w:val="decimal"/>
      <w:lvlText w:val="%7."/>
      <w:lvlJc w:val="left"/>
      <w:pPr>
        <w:ind w:left="5040" w:hanging="360"/>
      </w:pPr>
    </w:lvl>
    <w:lvl w:ilvl="7" w:tplc="18635959" w:tentative="1">
      <w:start w:val="1"/>
      <w:numFmt w:val="lowerLetter"/>
      <w:lvlText w:val="%8."/>
      <w:lvlJc w:val="left"/>
      <w:pPr>
        <w:ind w:left="5760" w:hanging="360"/>
      </w:pPr>
    </w:lvl>
    <w:lvl w:ilvl="8" w:tplc="18635959" w:tentative="1">
      <w:start w:val="1"/>
      <w:numFmt w:val="lowerRoman"/>
      <w:lvlText w:val="%9."/>
      <w:lvlJc w:val="right"/>
      <w:pPr>
        <w:ind w:left="6480" w:hanging="180"/>
      </w:pPr>
    </w:lvl>
  </w:abstractNum>
  <w:abstractNum w:abstractNumId="86209905">
    <w:multiLevelType w:val="hybridMultilevel"/>
    <w:lvl w:ilvl="0" w:tplc="64602328">
      <w:start w:val="1"/>
      <w:numFmt w:val="decimal"/>
      <w:lvlText w:val="%1."/>
      <w:lvlJc w:val="left"/>
      <w:pPr>
        <w:ind w:left="720" w:hanging="360"/>
      </w:pPr>
    </w:lvl>
    <w:lvl w:ilvl="1" w:tplc="64602328" w:tentative="1">
      <w:start w:val="1"/>
      <w:numFmt w:val="lowerLetter"/>
      <w:lvlText w:val="%2."/>
      <w:lvlJc w:val="left"/>
      <w:pPr>
        <w:ind w:left="1440" w:hanging="360"/>
      </w:pPr>
    </w:lvl>
    <w:lvl w:ilvl="2" w:tplc="64602328" w:tentative="1">
      <w:start w:val="1"/>
      <w:numFmt w:val="lowerRoman"/>
      <w:lvlText w:val="%3."/>
      <w:lvlJc w:val="right"/>
      <w:pPr>
        <w:ind w:left="2160" w:hanging="180"/>
      </w:pPr>
    </w:lvl>
    <w:lvl w:ilvl="3" w:tplc="64602328" w:tentative="1">
      <w:start w:val="1"/>
      <w:numFmt w:val="decimal"/>
      <w:lvlText w:val="%4."/>
      <w:lvlJc w:val="left"/>
      <w:pPr>
        <w:ind w:left="2880" w:hanging="360"/>
      </w:pPr>
    </w:lvl>
    <w:lvl w:ilvl="4" w:tplc="64602328" w:tentative="1">
      <w:start w:val="1"/>
      <w:numFmt w:val="lowerLetter"/>
      <w:lvlText w:val="%5."/>
      <w:lvlJc w:val="left"/>
      <w:pPr>
        <w:ind w:left="3600" w:hanging="360"/>
      </w:pPr>
    </w:lvl>
    <w:lvl w:ilvl="5" w:tplc="64602328" w:tentative="1">
      <w:start w:val="1"/>
      <w:numFmt w:val="lowerRoman"/>
      <w:lvlText w:val="%6."/>
      <w:lvlJc w:val="right"/>
      <w:pPr>
        <w:ind w:left="4320" w:hanging="180"/>
      </w:pPr>
    </w:lvl>
    <w:lvl w:ilvl="6" w:tplc="64602328" w:tentative="1">
      <w:start w:val="1"/>
      <w:numFmt w:val="decimal"/>
      <w:lvlText w:val="%7."/>
      <w:lvlJc w:val="left"/>
      <w:pPr>
        <w:ind w:left="5040" w:hanging="360"/>
      </w:pPr>
    </w:lvl>
    <w:lvl w:ilvl="7" w:tplc="64602328" w:tentative="1">
      <w:start w:val="1"/>
      <w:numFmt w:val="lowerLetter"/>
      <w:lvlText w:val="%8."/>
      <w:lvlJc w:val="left"/>
      <w:pPr>
        <w:ind w:left="5760" w:hanging="360"/>
      </w:pPr>
    </w:lvl>
    <w:lvl w:ilvl="8" w:tplc="64602328" w:tentative="1">
      <w:start w:val="1"/>
      <w:numFmt w:val="lowerRoman"/>
      <w:lvlText w:val="%9."/>
      <w:lvlJc w:val="right"/>
      <w:pPr>
        <w:ind w:left="6480" w:hanging="180"/>
      </w:pPr>
    </w:lvl>
  </w:abstractNum>
  <w:abstractNum w:abstractNumId="86209904">
    <w:multiLevelType w:val="hybridMultilevel"/>
    <w:lvl w:ilvl="0" w:tplc="73205225">
      <w:start w:val="1"/>
      <w:numFmt w:val="decimal"/>
      <w:lvlText w:val="%1."/>
      <w:lvlJc w:val="left"/>
      <w:pPr>
        <w:ind w:left="720" w:hanging="360"/>
      </w:pPr>
    </w:lvl>
    <w:lvl w:ilvl="1" w:tplc="73205225" w:tentative="1">
      <w:start w:val="1"/>
      <w:numFmt w:val="lowerLetter"/>
      <w:lvlText w:val="%2."/>
      <w:lvlJc w:val="left"/>
      <w:pPr>
        <w:ind w:left="1440" w:hanging="360"/>
      </w:pPr>
    </w:lvl>
    <w:lvl w:ilvl="2" w:tplc="73205225" w:tentative="1">
      <w:start w:val="1"/>
      <w:numFmt w:val="lowerRoman"/>
      <w:lvlText w:val="%3."/>
      <w:lvlJc w:val="right"/>
      <w:pPr>
        <w:ind w:left="2160" w:hanging="180"/>
      </w:pPr>
    </w:lvl>
    <w:lvl w:ilvl="3" w:tplc="73205225" w:tentative="1">
      <w:start w:val="1"/>
      <w:numFmt w:val="decimal"/>
      <w:lvlText w:val="%4."/>
      <w:lvlJc w:val="left"/>
      <w:pPr>
        <w:ind w:left="2880" w:hanging="360"/>
      </w:pPr>
    </w:lvl>
    <w:lvl w:ilvl="4" w:tplc="73205225" w:tentative="1">
      <w:start w:val="1"/>
      <w:numFmt w:val="lowerLetter"/>
      <w:lvlText w:val="%5."/>
      <w:lvlJc w:val="left"/>
      <w:pPr>
        <w:ind w:left="3600" w:hanging="360"/>
      </w:pPr>
    </w:lvl>
    <w:lvl w:ilvl="5" w:tplc="73205225" w:tentative="1">
      <w:start w:val="1"/>
      <w:numFmt w:val="lowerRoman"/>
      <w:lvlText w:val="%6."/>
      <w:lvlJc w:val="right"/>
      <w:pPr>
        <w:ind w:left="4320" w:hanging="180"/>
      </w:pPr>
    </w:lvl>
    <w:lvl w:ilvl="6" w:tplc="73205225" w:tentative="1">
      <w:start w:val="1"/>
      <w:numFmt w:val="decimal"/>
      <w:lvlText w:val="%7."/>
      <w:lvlJc w:val="left"/>
      <w:pPr>
        <w:ind w:left="5040" w:hanging="360"/>
      </w:pPr>
    </w:lvl>
    <w:lvl w:ilvl="7" w:tplc="73205225" w:tentative="1">
      <w:start w:val="1"/>
      <w:numFmt w:val="lowerLetter"/>
      <w:lvlText w:val="%8."/>
      <w:lvlJc w:val="left"/>
      <w:pPr>
        <w:ind w:left="5760" w:hanging="360"/>
      </w:pPr>
    </w:lvl>
    <w:lvl w:ilvl="8" w:tplc="73205225" w:tentative="1">
      <w:start w:val="1"/>
      <w:numFmt w:val="lowerRoman"/>
      <w:lvlText w:val="%9."/>
      <w:lvlJc w:val="right"/>
      <w:pPr>
        <w:ind w:left="6480" w:hanging="180"/>
      </w:pPr>
    </w:lvl>
  </w:abstractNum>
  <w:abstractNum w:abstractNumId="5626363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9695568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6209903">
    <w:multiLevelType w:val="hybridMultilevel"/>
    <w:lvl w:ilvl="0" w:tplc="29032738">
      <w:start w:val="1"/>
      <w:numFmt w:val="decimal"/>
      <w:lvlText w:val="%1."/>
      <w:lvlJc w:val="left"/>
      <w:pPr>
        <w:ind w:left="720" w:hanging="360"/>
      </w:pPr>
    </w:lvl>
    <w:lvl w:ilvl="1" w:tplc="29032738" w:tentative="1">
      <w:start w:val="1"/>
      <w:numFmt w:val="lowerLetter"/>
      <w:lvlText w:val="%2."/>
      <w:lvlJc w:val="left"/>
      <w:pPr>
        <w:ind w:left="1440" w:hanging="360"/>
      </w:pPr>
    </w:lvl>
    <w:lvl w:ilvl="2" w:tplc="29032738" w:tentative="1">
      <w:start w:val="1"/>
      <w:numFmt w:val="lowerRoman"/>
      <w:lvlText w:val="%3."/>
      <w:lvlJc w:val="right"/>
      <w:pPr>
        <w:ind w:left="2160" w:hanging="180"/>
      </w:pPr>
    </w:lvl>
    <w:lvl w:ilvl="3" w:tplc="29032738" w:tentative="1">
      <w:start w:val="1"/>
      <w:numFmt w:val="decimal"/>
      <w:lvlText w:val="%4."/>
      <w:lvlJc w:val="left"/>
      <w:pPr>
        <w:ind w:left="2880" w:hanging="360"/>
      </w:pPr>
    </w:lvl>
    <w:lvl w:ilvl="4" w:tplc="29032738" w:tentative="1">
      <w:start w:val="1"/>
      <w:numFmt w:val="lowerLetter"/>
      <w:lvlText w:val="%5."/>
      <w:lvlJc w:val="left"/>
      <w:pPr>
        <w:ind w:left="3600" w:hanging="360"/>
      </w:pPr>
    </w:lvl>
    <w:lvl w:ilvl="5" w:tplc="29032738" w:tentative="1">
      <w:start w:val="1"/>
      <w:numFmt w:val="lowerRoman"/>
      <w:lvlText w:val="%6."/>
      <w:lvlJc w:val="right"/>
      <w:pPr>
        <w:ind w:left="4320" w:hanging="180"/>
      </w:pPr>
    </w:lvl>
    <w:lvl w:ilvl="6" w:tplc="29032738" w:tentative="1">
      <w:start w:val="1"/>
      <w:numFmt w:val="decimal"/>
      <w:lvlText w:val="%7."/>
      <w:lvlJc w:val="left"/>
      <w:pPr>
        <w:ind w:left="5040" w:hanging="360"/>
      </w:pPr>
    </w:lvl>
    <w:lvl w:ilvl="7" w:tplc="29032738" w:tentative="1">
      <w:start w:val="1"/>
      <w:numFmt w:val="lowerLetter"/>
      <w:lvlText w:val="%8."/>
      <w:lvlJc w:val="left"/>
      <w:pPr>
        <w:ind w:left="5760" w:hanging="360"/>
      </w:pPr>
    </w:lvl>
    <w:lvl w:ilvl="8" w:tplc="29032738" w:tentative="1">
      <w:start w:val="1"/>
      <w:numFmt w:val="lowerRoman"/>
      <w:lvlText w:val="%9."/>
      <w:lvlJc w:val="right"/>
      <w:pPr>
        <w:ind w:left="6480" w:hanging="180"/>
      </w:pPr>
    </w:lvl>
  </w:abstractNum>
  <w:abstractNum w:abstractNumId="86209902">
    <w:multiLevelType w:val="hybridMultilevel"/>
    <w:lvl w:ilvl="0" w:tplc="59388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09902">
    <w:abstractNumId w:val="86209902"/>
  </w:num>
  <w:num w:numId="86209903">
    <w:abstractNumId w:val="86209903"/>
  </w:num>
  <w:num w:numId="296955680">
    <w:abstractNumId w:val="296955680"/>
  </w:num>
  <w:num w:numId="56263638">
    <w:abstractNumId w:val="56263638"/>
  </w:num>
  <w:num w:numId="86209904">
    <w:abstractNumId w:val="86209904"/>
  </w:num>
  <w:num w:numId="86209905">
    <w:abstractNumId w:val="86209905"/>
  </w:num>
  <w:num w:numId="86209906">
    <w:abstractNumId w:val="86209906"/>
  </w:num>
  <w:num w:numId="205550570">
    <w:abstractNumId w:val="205550570"/>
  </w:num>
  <w:num w:numId="880180491">
    <w:abstractNumId w:val="880180491"/>
  </w:num>
  <w:num w:numId="638873830">
    <w:abstractNumId w:val="638873830"/>
  </w:num>
  <w:num w:numId="194276920">
    <w:abstractNumId w:val="194276920"/>
  </w:num>
  <w:num w:numId="704565785">
    <w:abstractNumId w:val="704565785"/>
  </w:num>
  <w:num w:numId="890501732">
    <w:abstractNumId w:val="8905017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99780596" Type="http://schemas.openxmlformats.org/officeDocument/2006/relationships/numbering" Target="numbering.xml"/><Relationship Id="rId747136576" Type="http://schemas.openxmlformats.org/officeDocument/2006/relationships/comments" Target="comments.xml"/><Relationship Id="rId71466ababa62f3f98" Type="http://schemas.openxmlformats.org/officeDocument/2006/relationships/hyperlink" Target="https://www.bfg.gv.at/verfahren.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