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439173" w:name="document"/>
    <w:bookmarkEnd w:id="11439173"/>
    <w:p/>
    <w:p>
      <w:pPr>
        <w:widowControl w:val="on"/>
        <w:pBdr/>
        <w:spacing w:before="0" w:after="280" w:line="240" w:lineRule="auto"/>
        <w:ind w:left="0" w:right="0"/>
        <w:jc w:val="left"/>
      </w:pPr>
      <w:r>
        <w:rPr>
          <w:rFonts w:ascii="Arial" w:hAnsi="Arial" w:eastAsia="Arial" w:cs="Arial"/>
          <w:color w:val="363A40"/>
          <w:sz w:val="24"/>
          <w:szCs w:val="24"/>
        </w:rPr>
        <w:t xml:space="preserve">Dokument-ID: 774038 | Redaktion FORUM Media -
Karin Zahiragic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Liegenschaftskaufvertrag (Mindestinhalt)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 [Vor- und Zuname]; geboren am …; wohnhaft in …, als Verkäufer
und in der Folge kurz als solcher bezeichnet einerseits, und</w:t>
      </w:r>
    </w:p>
    <w:p>
      <w:pPr>
        <w:widowControl w:val="on"/>
        <w:pBdr/>
        <w:spacing w:before="140" w:after="240" w:line="288" w:lineRule="auto"/>
        <w:ind w:left="0" w:right="0"/>
        <w:jc w:val="left"/>
      </w:pPr>
      <w:r>
        <w:rPr>
          <w:rFonts w:ascii="Arial" w:hAnsi="Arial" w:eastAsia="Arial" w:cs="Arial"/>
          <w:color w:val="000000"/>
          <w:sz w:val="20"/>
          <w:szCs w:val="20"/>
        </w:rPr>
        <w:t xml:space="preserve">… [Vor- und Zuname]; geboren am …; wohnhaft in …, als Käufer und
in der Folge kurz als solcher bezeichnet andererseits, am heutigen
Tag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Kaufgegenstand</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grundbücherlicher Alleineigentümer der
Liegenschaft EZ …, GB …, … KG, einkommend im Grundbuch des BG …
bestehend aus dem Grundstück Nr … mit der Grundstücksadresse
im unverbürgten Gesamtausmaß von … m².</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stellt ein unbebautes Grundstück mit der
Flächenwidmung … dar.</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ist nach Auskunft des Verkäufers und nach
Einsichtnahme in das Grundbuch am Tag der Vertragsunterfertigung
frei von allen bücherlichen und außerbücherlichen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Kaufpreis</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und der Käufer kauft und
übernimmt die in Punkt I. dieses Vertrages näher bezeichnete
Liegenschaft mit allen Rechten und Befugnissen mit denen der
Verkäufer diese besessen und benützt hat bzw zu benützen und zu
besitzen berechtigt war, um den beiderseits vereinbarten Kaufpreis
von EUR … (in Worten: … Euro).</w:t>
      </w:r>
    </w:p>
    <w:p>
      <w:pPr>
        <w:widowControl w:val="on"/>
        <w:pBdr/>
        <w:spacing w:before="140" w:after="240" w:line="288" w:lineRule="auto"/>
        <w:ind w:left="0" w:right="0"/>
        <w:jc w:val="left"/>
      </w:pPr>
      <w:r>
        <w:rPr>
          <w:rFonts w:ascii="Arial" w:hAnsi="Arial" w:eastAsia="Arial" w:cs="Arial"/>
          <w:color w:val="000000"/>
          <w:sz w:val="20"/>
          <w:szCs w:val="20"/>
        </w:rPr>
        <w:t xml:space="preserve">Der Käufer hat innerhalb von zwei Wochen ab
Vertragsunterzeichnung den Kaufpreis zuzüglich 3,5 %
Grunderwerbsteuer (in Worten: … Euro) und 1,1 %
Grundbuchseintragungsgebühr (in Worten: … Euro), insgesamt somit
einen Betrag von EUR … (in Worten: … Euro) bei Herrn Dr. Max
Mustermann, Rechtsanwalt in 1010 Wien, Mustermanngasse 3/5
(nachfolgend „Treuhänder“ genannt), auf dem Anderkonto
Nr 4567789 bei der Bank Austria AG (IBAN: …, BIC: …)
treuhändig zu erlegen.</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erhält von den Vertragsparteien den einseitig
unwiderruflichen Auftrag, den oben genannten Betrag in der Höhe von
EUR … (in Worten: … Euro) abzüglich etwaiger Bankspesen an den
Verkäufer auf dessen Konto, IBAN Nr …, BIC: …, bei der Erste
Bank, zu überweisen, sobald der Käufer als alleiniger Eigentümer
des Kaufgegenstands im Grundbuch eingetragen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Haftung</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weder für eine bestimmte Beschaffenheit
noch für ein bestimmtes Erträgnis der kaufgegenständlichen
Liegenschaft. Er leistet jedoch Gewähr dafür, dass die
kaufgegenständliche Liegenschaft frei von Lasten Dritter in das
Eigentum des Käufers übergeht.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dass sie sich vor
Vertragsabschluss über den Wert der kaufgegenständlichen
Liegenschaft genaue Kenntnis verschafft haben. Der Kaufpreis wird
aufgrund des Zustands und der Beschaffenheit des Kaufgegenstands
von den Vertragsparteien als angemessen angesehen. Die
Vertragsparteien schließen diesen Vertrag somit in Kenntnis des
wahren Wertes des Kaufgegenstands und in Kenntnis des Wertes von
Leistung und Gegenleistung ab. Die Vertragsparteien verzichten
ausdrücklich auf eine diesbezügliche Anfechtung, Aufhebung oder
Änderung des gegenständlichen Vertrags wegen Irrtums oder
Verkürzung über die Hälfte.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Übergabe und Übernahme</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Übernahme der kaufgegenständlichen Liegenschaft
erfolgte bereits am … Gefahr und Zufall, Nutzen und Lasten gehen
mit diesem Tag auf den Käufer über, ab welchem Tag dieser auch
sämtliche für die kaufgegenständliche Liegenschaft zu entrichtenden
Steuern und Gebühren und dergleichen zu tragen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Allgemeines</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grundbücherlichen Durchführung
dieses Vertrages verbundenen Kosten, Steuern und Gebühren aller Art
trägt der Käufer allein. Ausgenommen davon ist die
Immobilienertragsteuer, deren Abwicklung und Entrichtung
ausschließlich dem Verkäufer obliegen.</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österreichischer Staatsbürger und
Deviseninländer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erteilt sohin die ausdrückliche und
unwiderrufliche Einwilligung, dass aufgrund dieses Kaufvertrags
ohne sein weiteres Wissen und Zutun, jedoch nicht auf seine Kosten
ob der Liegenschaft EZ …, GB … einkommend im Grundbuch des BG …
bestehend aus dem Grundstück Nr … mit der Grundstücksadresse
…, das alleinige Eigentumsrecht für</w:t>
      </w:r>
    </w:p>
    <w:p>
      <w:pPr>
        <w:widowControl w:val="on"/>
        <w:pBdr/>
        <w:spacing w:before="140" w:after="240" w:line="288" w:lineRule="auto"/>
        <w:ind w:left="0" w:right="0"/>
        <w:jc w:val="left"/>
      </w:pPr>
      <w:r>
        <w:rPr>
          <w:rFonts w:ascii="Arial" w:hAnsi="Arial" w:eastAsia="Arial" w:cs="Arial"/>
          <w:color w:val="000000"/>
          <w:sz w:val="20"/>
          <w:szCs w:val="20"/>
        </w:rPr>
        <w:t xml:space="preserve">… [Vor- und Zuname], geboren am …</w:t>
      </w:r>
      <w:r>
        <w:rPr>
          <w:rFonts w:ascii="Arial" w:hAnsi="Arial" w:eastAsia="Arial" w:cs="Arial"/>
          <w:color w:val="000000"/>
          <w:sz w:val="20"/>
          <w:szCs w:val="20"/>
        </w:rPr>
        <w:br/>
        <w:t xml:space="preserve">wohnhaft in …</w:t>
      </w:r>
    </w:p>
    <w:p>
      <w:pPr>
        <w:widowControl w:val="on"/>
        <w:pBdr/>
        <w:spacing w:before="140" w:after="240" w:line="288" w:lineRule="auto"/>
        <w:ind w:left="0" w:right="0"/>
        <w:jc w:val="left"/>
      </w:pPr>
      <w:r>
        <w:rPr>
          <w:rFonts w:ascii="Arial" w:hAnsi="Arial" w:eastAsia="Arial" w:cs="Arial"/>
          <w:color w:val="000000"/>
          <w:sz w:val="20"/>
          <w:szCs w:val="20"/>
        </w:rPr>
        <w:t xml:space="preserve">einverleibt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Vollmacht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beauftragen und bevollmächtigen
ausdrücklich und unwiderruflich Herrn Dr. Max Mustermann,
Rechtsanwalt in 1010 Wien, Mustermanngasse 3/5, alle Erklärungen,
Ergänzungen, und Änderungen dieses Vertrags, auch in beglaubigter
Form, vorzunehmen, sofern diese für die grundbücherliche
Durchführung dieses Vertrags erforderlich sind. Diese Vollmacht
ermächtigt, weiters zur Abgabe von Erklärungen gegenüber dem
Finanzamt, den Gerichten und sonstigen Behörden sowie zur
Empfangnahme von Bescheiden, Beschlüssen und Urkunden aller Art,
soweit dies für die Durchführung dieses Kaufvertrags notwendig oder
zweckmäßig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 des Verkäufers, Geburtsdatum]</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 des Käufers, Geburtsdatum]</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435155" w:name="note1"/>
            <w:bookmarkEnd w:id="44435155"/>
            <w:bookmarkStart w:id="5066846154192" w:name="note1"/>
            <w:r>
              <w:rPr>
                <w:rFonts w:ascii="Arial" w:hAnsi="Arial" w:eastAsia="Arial" w:cs="Arial"/>
                <w:b/>
                <w:bCs/>
                <w:color w:val="000000"/>
                <w:position w:val="0"/>
                <w:sz w:val="20"/>
                <w:szCs w:val="20"/>
              </w:rPr>
              <w:t xml:space="preserve">[1]</w:t>
            </w:r>
            <w:bookmarkEnd w:id="50668461541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Angaben über die österreichische Staatsbürgerschaft bzw
Deviseninländereigenschaft sind für das Devisengesetz und die
Landesgrundverkehrsgesetze bedeutsame Erklärungen.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716103" w:name="note2"/>
            <w:bookmarkEnd w:id="55716103"/>
            <w:bookmarkStart w:id="3038561547736" w:name="note2"/>
            <w:r>
              <w:rPr>
                <w:rFonts w:ascii="Arial" w:hAnsi="Arial" w:eastAsia="Arial" w:cs="Arial"/>
                <w:b/>
                <w:bCs/>
                <w:color w:val="000000"/>
                <w:position w:val="0"/>
                <w:sz w:val="20"/>
                <w:szCs w:val="20"/>
              </w:rPr>
              <w:t xml:space="preserve">[2]</w:t>
            </w:r>
            <w:bookmarkEnd w:id="30385615477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die ausdrückliche Erklärung desjenigen, dessen Rechte
beschränkt, belastet, aufgehoben oder auf eine andere Person
übertragen werden (NZ 1990, 100), in die Einverleibung
einzuwilligen (RdW 1996, 529). Die Erklärung kann entweder in der
Titelurkunde (Kaufvertrag), in einer besonderen Urkunde oder erst
im Grundbuchsgesuch selbst abgegeben werden. In den letztgenannten
Fällen genügt die beglaubigte Unterschrift des Veräußerers entweder
auf der gesonderten Urkunde oder auf dem Gesuch. Daneben muss
jedoch zusätzlich die von beiden Vertragsteilen unterfertigte
Titelurkunde (Kaufvertrag) vorgelegt werden, wobei dabei die
Unterschrift des Veräußerers auf der Titelurkunde nicht beglaubigt
sein muss (RPflSlgG 808; 321). Die Einverleibungsbewilligung
(Aufsandungserklärung) ist einerseits Bestandteil der
einverleibungsfähigen Urkunde (Kaufvertrag) und damit
Formerfordernis des Bucheintrages, zum anderen auch materielles
Erfordernis der Rechtsänderung und als solches dingliches
Verfügungsgeschäft. Durch die Erteilung der
Einverleibungsbewilligung erlangt der hiedurch Begünstigte eine
Rechtsposition die ihm befähigt, die dingliche Rechtsänderung ohne
weiteres Einverständnis bzw Handeln des durch die Rechtsänderung
Betroffenen herbeizuführen (NZ 1981, 116).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299128" w:name="note3"/>
            <w:bookmarkEnd w:id="79299128"/>
            <w:bookmarkStart w:id="1018131375247" w:name="note3"/>
            <w:r>
              <w:rPr>
                <w:rFonts w:ascii="Arial" w:hAnsi="Arial" w:eastAsia="Arial" w:cs="Arial"/>
                <w:b/>
                <w:bCs/>
                <w:color w:val="000000"/>
                <w:position w:val="0"/>
                <w:sz w:val="20"/>
                <w:szCs w:val="20"/>
              </w:rPr>
              <w:t xml:space="preserve">[3]</w:t>
            </w:r>
            <w:bookmarkEnd w:id="10181313752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Einverleibung des Eigentumsrechtes kann jedoch gem § 31
GBG nur aufgrund einer öffentlichen Urkunde oder einer solchen
Privaturkunde geschehen, auf der die Unterschriften der Parteien
gerichtlich oder notariell beglaubigt sind, und der
Beglaubigungsvermerk bei natürlichen Personen das Geburtsdatum
enthält.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78007" w:name="note4"/>
            <w:bookmarkEnd w:id="1078007"/>
            <w:bookmarkStart w:id="7832460816389" w:name="note4"/>
            <w:r>
              <w:rPr>
                <w:rFonts w:ascii="Arial" w:hAnsi="Arial" w:eastAsia="Arial" w:cs="Arial"/>
                <w:b/>
                <w:bCs/>
                <w:color w:val="000000"/>
                <w:position w:val="0"/>
                <w:sz w:val="20"/>
                <w:szCs w:val="20"/>
              </w:rPr>
              <w:t xml:space="preserve">[4]</w:t>
            </w:r>
            <w:bookmarkEnd w:id="78324608163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Beglaubigung der Unterschrift hat nicht nur hinsichtlich
jener Personen zu erfolgen, deren Rechte beschränkt, belastet,
aufgehoben oder auf eine andere Person übertragen werden sollen,
vielmehr wird die Beglaubigung der Unterschrift der Parteien
schlechthin verlangt. Parteien iSd § 31 Abs 1 GBG sind
jene Beteiligten, deren unmittelbare Mitwirkung bei der Errichtung
jener Grundbuchsurkunde notwendig ist, um die beabsichtigte
Rechtsänderung im Grundbuch herbeizuführen.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28329">
    <w:multiLevelType w:val="hybridMultilevel"/>
    <w:lvl w:ilvl="0" w:tplc="41989857">
      <w:start w:val="1"/>
      <w:numFmt w:val="decimal"/>
      <w:lvlText w:val="%1."/>
      <w:lvlJc w:val="left"/>
      <w:pPr>
        <w:ind w:left="720" w:hanging="360"/>
      </w:pPr>
    </w:lvl>
    <w:lvl w:ilvl="1" w:tplc="41989857" w:tentative="1">
      <w:start w:val="1"/>
      <w:numFmt w:val="lowerLetter"/>
      <w:lvlText w:val="%2."/>
      <w:lvlJc w:val="left"/>
      <w:pPr>
        <w:ind w:left="1440" w:hanging="360"/>
      </w:pPr>
    </w:lvl>
    <w:lvl w:ilvl="2" w:tplc="41989857" w:tentative="1">
      <w:start w:val="1"/>
      <w:numFmt w:val="lowerRoman"/>
      <w:lvlText w:val="%3."/>
      <w:lvlJc w:val="right"/>
      <w:pPr>
        <w:ind w:left="2160" w:hanging="180"/>
      </w:pPr>
    </w:lvl>
    <w:lvl w:ilvl="3" w:tplc="41989857" w:tentative="1">
      <w:start w:val="1"/>
      <w:numFmt w:val="decimal"/>
      <w:lvlText w:val="%4."/>
      <w:lvlJc w:val="left"/>
      <w:pPr>
        <w:ind w:left="2880" w:hanging="360"/>
      </w:pPr>
    </w:lvl>
    <w:lvl w:ilvl="4" w:tplc="41989857" w:tentative="1">
      <w:start w:val="1"/>
      <w:numFmt w:val="lowerLetter"/>
      <w:lvlText w:val="%5."/>
      <w:lvlJc w:val="left"/>
      <w:pPr>
        <w:ind w:left="3600" w:hanging="360"/>
      </w:pPr>
    </w:lvl>
    <w:lvl w:ilvl="5" w:tplc="41989857" w:tentative="1">
      <w:start w:val="1"/>
      <w:numFmt w:val="lowerRoman"/>
      <w:lvlText w:val="%6."/>
      <w:lvlJc w:val="right"/>
      <w:pPr>
        <w:ind w:left="4320" w:hanging="180"/>
      </w:pPr>
    </w:lvl>
    <w:lvl w:ilvl="6" w:tplc="41989857" w:tentative="1">
      <w:start w:val="1"/>
      <w:numFmt w:val="decimal"/>
      <w:lvlText w:val="%7."/>
      <w:lvlJc w:val="left"/>
      <w:pPr>
        <w:ind w:left="5040" w:hanging="360"/>
      </w:pPr>
    </w:lvl>
    <w:lvl w:ilvl="7" w:tplc="41989857" w:tentative="1">
      <w:start w:val="1"/>
      <w:numFmt w:val="lowerLetter"/>
      <w:lvlText w:val="%8."/>
      <w:lvlJc w:val="left"/>
      <w:pPr>
        <w:ind w:left="5760" w:hanging="360"/>
      </w:pPr>
    </w:lvl>
    <w:lvl w:ilvl="8" w:tplc="41989857" w:tentative="1">
      <w:start w:val="1"/>
      <w:numFmt w:val="lowerRoman"/>
      <w:lvlText w:val="%9."/>
      <w:lvlJc w:val="right"/>
      <w:pPr>
        <w:ind w:left="6480" w:hanging="180"/>
      </w:pPr>
    </w:lvl>
  </w:abstractNum>
  <w:abstractNum w:abstractNumId="99228328">
    <w:multiLevelType w:val="hybridMultilevel"/>
    <w:lvl w:ilvl="0" w:tplc="32283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28328">
    <w:abstractNumId w:val="99228328"/>
  </w:num>
  <w:num w:numId="99228329">
    <w:abstractNumId w:val="99228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94285111" Type="http://schemas.openxmlformats.org/officeDocument/2006/relationships/numbering" Target="numbering.xml"/><Relationship Id="rId4536957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