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895977" w:name="document"/>
    <w:bookmarkEnd w:id="3895977"/>
    <w:p/>
    <w:p>
      <w:pPr>
        <w:widowControl w:val="on"/>
        <w:pBdr/>
        <w:spacing w:before="0" w:after="280" w:line="240" w:lineRule="auto"/>
        <w:ind w:left="0" w:right="0"/>
        <w:jc w:val="left"/>
      </w:pPr>
      <w:r>
        <w:rPr>
          <w:rFonts w:ascii="Arial" w:hAnsi="Arial" w:eastAsia="Arial" w:cs="Arial"/>
          <w:color w:val="363A40"/>
          <w:sz w:val="24"/>
          <w:szCs w:val="24"/>
        </w:rPr>
        <w:t xml:space="preserve">Dokument-ID: 1191993 | Daniela Michlits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 einer gewerblichen Vermietung gem Art III UmgrStG
in eine GmbH</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Einlage eines Grundstücks in eine GmbH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Einkommensteuer</w:t>
      </w:r>
    </w:p>
    <w:p>
      <w:pPr>
        <w:widowControl w:val="on"/>
        <w:pBdr/>
        <w:spacing w:before="140" w:after="240" w:line="288" w:lineRule="auto"/>
        <w:ind w:left="0" w:right="0"/>
        <w:jc w:val="left"/>
      </w:pPr>
      <w:r>
        <w:rPr>
          <w:rFonts w:ascii="Arial" w:hAnsi="Arial" w:eastAsia="Arial" w:cs="Arial"/>
          <w:color w:val="000000"/>
          <w:sz w:val="20"/>
          <w:szCs w:val="20"/>
        </w:rPr>
        <w:t xml:space="preserve">Die Einlage eines Grundstücks in eine GmbH führt zur Aufdeckung
der stillen Reserven des Grundstücks und zur Tauschbesteuerung gem
§ 6 Z 14 lit b EStG:</w:t>
      </w:r>
    </w:p>
    <w:p>
      <w:pPr>
        <w:widowControl w:val="on"/>
        <w:pBdr/>
        <w:spacing w:before="140" w:after="240" w:line="288" w:lineRule="auto"/>
        <w:ind w:left="0" w:right="0"/>
        <w:jc w:val="left"/>
      </w:pPr>
      <w:r>
        <w:rPr>
          <w:rFonts w:ascii="Arial" w:hAnsi="Arial" w:eastAsia="Arial" w:cs="Arial"/>
          <w:i/>
          <w:iCs/>
          <w:color w:val="000000"/>
          <w:sz w:val="20"/>
          <w:szCs w:val="20"/>
        </w:rPr>
        <w:t xml:space="preserve">„Die Einlage oder die Einbringung von Wirtschaftsgütern und
sonstigem Vermögen in eine Körperschaft (§ 1 des
Körperschaftsteuergesetzes 1988) gilt als Tausch im Sinne der
lit a, wenn sie nicht unter das Umgründungssteuergesetz fällt
oder das Umgründungssteuergesetz dies vorsieht. Die Einbringung von
(Teil)Betrieben, Mitunternehmer- und Kapitalanteilen im Sinne des
§ 12 Abs 2 des Umgründungssteuergesetzes ist auf den nach
dem Umgründungssteuergesetz maßgeblichen Einbringungsstichtag zu
beziehen.“</w:t>
      </w:r>
    </w:p>
    <w:p>
      <w:pPr>
        <w:widowControl w:val="on"/>
        <w:pBdr/>
        <w:spacing w:before="140" w:after="240" w:line="288" w:lineRule="auto"/>
        <w:ind w:left="0" w:right="0"/>
        <w:jc w:val="left"/>
      </w:pPr>
      <w:r>
        <w:rPr>
          <w:rFonts w:ascii="Arial" w:hAnsi="Arial" w:eastAsia="Arial" w:cs="Arial"/>
          <w:color w:val="000000"/>
          <w:sz w:val="20"/>
          <w:szCs w:val="20"/>
        </w:rPr>
        <w:t xml:space="preserve">Der Tausch wird gem § 6 Z 14 EStG wie folgt
besteuert:</w:t>
      </w:r>
    </w:p>
    <w:p>
      <w:pPr>
        <w:widowControl w:val="on"/>
        <w:pBdr/>
        <w:spacing w:before="140" w:after="240" w:line="288" w:lineRule="auto"/>
        <w:ind w:left="0" w:right="0"/>
        <w:jc w:val="left"/>
      </w:pPr>
      <w:r>
        <w:rPr>
          <w:rFonts w:ascii="Arial" w:hAnsi="Arial" w:eastAsia="Arial" w:cs="Arial"/>
          <w:i/>
          <w:iCs/>
          <w:color w:val="000000"/>
          <w:sz w:val="20"/>
          <w:szCs w:val="20"/>
        </w:rPr>
        <w:t xml:space="preserve">„Beim Tausch von Wirtschaftsgütern liegt jeweils eine
Anschaffung und eine Veräußerung vor. Als Veräußerungspreis des
hingegebenen Wirtschaftsgutes und als Anschaffungskosten des
erworbenen Wirtschaftsgutes sind jeweils der gemeine Wert des
hingegebenen Wirtschaftsgutes anzusetzen.“</w:t>
      </w:r>
    </w:p>
    <w:p>
      <w:pPr>
        <w:widowControl w:val="on"/>
        <w:pBdr/>
        <w:spacing w:before="140" w:after="240" w:line="288" w:lineRule="auto"/>
        <w:ind w:left="0" w:right="0"/>
        <w:jc w:val="left"/>
      </w:pPr>
      <w:r>
        <w:rPr>
          <w:rFonts w:ascii="Arial" w:hAnsi="Arial" w:eastAsia="Arial" w:cs="Arial"/>
          <w:color w:val="000000"/>
          <w:sz w:val="20"/>
          <w:szCs w:val="20"/>
        </w:rPr>
        <w:t xml:space="preserve">Die Einlage eines privaten Grundstücks stellt also ein
entgeltliches Geschäft dar (Grundstück gegen GmbH-Anteile) und
führt zur Immobilienertragsteuerpflicht.</w:t>
      </w:r>
    </w:p>
    <w:p>
      <w:pPr>
        <w:widowControl w:val="on"/>
        <w:pBdr/>
        <w:spacing w:before="140" w:after="240" w:line="288" w:lineRule="auto"/>
        <w:ind w:left="0" w:right="0"/>
        <w:jc w:val="left"/>
      </w:pPr>
      <w:r>
        <w:rPr>
          <w:rFonts w:ascii="Arial" w:hAnsi="Arial" w:eastAsia="Arial" w:cs="Arial"/>
          <w:color w:val="000000"/>
          <w:sz w:val="20"/>
          <w:szCs w:val="20"/>
        </w:rPr>
        <w:t xml:space="preserve">Wird das Grundstück als Sachzuwendung in die GmbH eingelegt,
quasi als Zuschuss, so lautet der</w:t>
      </w:r>
    </w:p>
    <w:p>
      <w:pPr>
        <w:widowControl w:val="on"/>
        <w:pBdr/>
        <w:spacing w:before="140" w:after="240" w:line="288" w:lineRule="auto"/>
        <w:ind w:left="0" w:right="0"/>
        <w:jc w:val="left"/>
      </w:pPr>
      <w:r>
        <w:rPr>
          <w:rFonts w:ascii="Arial" w:hAnsi="Arial" w:eastAsia="Arial" w:cs="Arial"/>
          <w:color w:val="000000"/>
          <w:sz w:val="20"/>
          <w:szCs w:val="20"/>
        </w:rPr>
        <w:t xml:space="preserve">Buchungssatz: Grundstück an ungebundene Kapitalrücklage</w:t>
      </w:r>
    </w:p>
    <w:p>
      <w:pPr>
        <w:widowControl w:val="on"/>
        <w:pBdr/>
        <w:spacing w:before="140" w:after="240" w:line="288" w:lineRule="auto"/>
        <w:ind w:left="0" w:right="0"/>
        <w:jc w:val="left"/>
      </w:pPr>
      <w:r>
        <w:rPr>
          <w:rFonts w:ascii="Arial" w:hAnsi="Arial" w:eastAsia="Arial" w:cs="Arial"/>
          <w:color w:val="000000"/>
          <w:sz w:val="20"/>
          <w:szCs w:val="20"/>
        </w:rPr>
        <w:t xml:space="preserve">Die Kapitalrücklage ist nur dann ungebunden, wenn es sich um
eine kleine GmbH handelt (§ 229 Abs 5 UGB, § 130
AktG).</w:t>
      </w:r>
    </w:p>
    <w:p>
      <w:pPr>
        <w:widowControl w:val="on"/>
        <w:pBdr/>
        <w:spacing w:before="140" w:after="240" w:line="288" w:lineRule="auto"/>
        <w:ind w:left="0" w:right="0"/>
        <w:jc w:val="left"/>
      </w:pPr>
      <w:r>
        <w:rPr>
          <w:rFonts w:ascii="Arial" w:hAnsi="Arial" w:eastAsia="Arial" w:cs="Arial"/>
          <w:color w:val="000000"/>
          <w:sz w:val="20"/>
          <w:szCs w:val="20"/>
        </w:rPr>
        <w:t xml:space="preserve">Die Abschreibung eines eventuellen Gebäudeanteiles wird vom
gemeinen Wert zum Einlagezeitpunkt bemessen. Empfehlenswert ist,
diesen Wert mit einem Gutachten Immobiliensachverständigen zu
argumentieren.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Grunderwerbsteuer</w:t>
      </w:r>
    </w:p>
    <w:p>
      <w:pPr>
        <w:widowControl w:val="on"/>
        <w:pBdr/>
        <w:spacing w:before="140" w:after="240" w:line="288" w:lineRule="auto"/>
        <w:ind w:left="0" w:right="0"/>
        <w:jc w:val="left"/>
      </w:pPr>
      <w:r>
        <w:rPr>
          <w:rFonts w:ascii="Arial" w:hAnsi="Arial" w:eastAsia="Arial" w:cs="Arial"/>
          <w:color w:val="000000"/>
          <w:sz w:val="20"/>
          <w:szCs w:val="20"/>
        </w:rPr>
        <w:t xml:space="preserve">Gem Pkt 3.3 der BMF-Information BMF-010206/0058-VI/5/2016 v
13.05.2016 muss bei Einlagen von Grundstücken in eine
Kapitalgesellschaft außerhalb von Umgründungen zwischen einerseits
Einlage mit und andererseits Einlage ohne Kapitalerhöhung
unterschieden werden.</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Die Grunderwerbsteuer beträgt Grundstückswert x
Stufentarif.</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Grundbuchseintragungsgebühr</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Daher gilt dieser Vorgang als unentgeltlicher Erwerb gem
§ 26a GGG. Die Grundbuchseintragungsgebühr ist vom 3-fachen
Einheitswert (max v 30 % des Verkehrswertes) zu bemessen.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Umsatzsteuer</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Daher gilt dieser Vorgang auch umsatzsteuerlich als
unentgeltlicher Erwerb. Wenn der GmbH-Gesellschafter ein
vermietetes Grundstück in die GmbH einlegt, dann entnimmt er dieses
Grundstück aus seinem Unternehmen und legt es dann in die GmbH ein.
Die Entnahme aus seinem Unternehmen stellt einen Eigenverbrauch gem
§ 3 Abs 2 UStG dar. Dieser Eigenverbrauch stellt eine
unecht umsatzsteuerfreie Grundstückslieferung dar (§ 6
Abs 1 Z 9 lit a UStG). Hat der Gesellschafter bei
der historischen Anschaffung des Grundstücks Vorsteuern gezogen, so
muss er diese daher gem § 12 Abs 10 UStG unter
Berücksichtigung eines 20-Jahres-Beobachtungszeitraums korrigieren
und die offenen 20stel an das Finanzamt zurückbezahlen. Diese zu
korrigierende Vorsteuer kann er gem § 12 Abs 15 UStG an
die GmbH weiterleiten. Er muss dazu nur eine Rechnung legen, welche
den korrigierten Vorsteuerbetrag ausweist und auf § 12
Abs 15 UStG verweist. Die GmbH kann diesen weitergeleiteten
Vorsteuerbetrag als Vorsteuer ziehen.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Umgründungssteuergesetz</w:t>
      </w:r>
    </w:p>
    <w:p>
      <w:pPr>
        <w:widowControl w:val="on"/>
        <w:pBdr/>
        <w:spacing w:before="140" w:after="240" w:line="288" w:lineRule="auto"/>
        <w:ind w:left="0" w:right="0"/>
        <w:jc w:val="left"/>
      </w:pPr>
      <w:r>
        <w:rPr>
          <w:rFonts w:ascii="Arial" w:hAnsi="Arial" w:eastAsia="Arial" w:cs="Arial"/>
          <w:color w:val="000000"/>
          <w:sz w:val="20"/>
          <w:szCs w:val="20"/>
        </w:rPr>
        <w:t xml:space="preserve">Die Einbringung gem Art III UmgrStG eines alleinigen
Grundstücks in eine GmbH ist nicht möglich, da es sich bei einem
alleinigen Grundstück um kein einbringungsfähiges Vermögen
(Betrieb/Teilbetrieb) gem § 12 UmgrStG handelt.</w:t>
      </w:r>
    </w:p>
    <w:p>
      <w:pPr>
        <w:widowControl w:val="on"/>
        <w:pBdr/>
        <w:spacing w:before="140" w:after="240" w:line="288" w:lineRule="auto"/>
        <w:ind w:left="0" w:right="0"/>
        <w:jc w:val="left"/>
      </w:pPr>
      <w:r>
        <w:rPr>
          <w:rFonts w:ascii="Arial" w:hAnsi="Arial" w:eastAsia="Arial" w:cs="Arial"/>
          <w:color w:val="000000"/>
          <w:sz w:val="20"/>
          <w:szCs w:val="20"/>
        </w:rPr>
        <w:t xml:space="preserve">Die Einbringung gem Art III UmgrStG eines Anteils an einer
vermögensverwaltenden KG in eine GmbH ist nicht möglich, da es sich
bei diesem Anteil um kein einbringungsfähiges Vermögen
(Mitunternehmeranteil) gem § 12 UmgrStG handelt.</w:t>
      </w:r>
    </w:p>
    <w:p>
      <w:pPr>
        <w:widowControl w:val="on"/>
        <w:pBdr/>
        <w:spacing w:before="140" w:after="240" w:line="288" w:lineRule="auto"/>
        <w:ind w:left="0" w:right="0"/>
        <w:jc w:val="left"/>
      </w:pPr>
      <w:r>
        <w:rPr>
          <w:rFonts w:ascii="Arial" w:hAnsi="Arial" w:eastAsia="Arial" w:cs="Arial"/>
          <w:color w:val="000000"/>
          <w:sz w:val="20"/>
          <w:szCs w:val="20"/>
        </w:rPr>
        <w:t xml:space="preserve">Schafft man es, den Charakter eines Betriebes oder einer
Mitunternehmerschaft zu argumentieren, dann handelt es sich bei dem
Betrieb bzw dem Mitunternehmeranteil um einbringungsfähiges
Vermögen gem § 12 UmgrStG. Dies wäre beispielsweise bei einer
gewerblichen Vermietung der Fall. Betreffend die begriffliche
Abgrenzung zwischen Vermögensverwaltung und gewerblicher Vermietung
wird auf Rz 5433 ff EStR verwiesen.</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Schlussbilanz Einzelunternehmen</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185.000,00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r>
    </w:tbl>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Einbringungsbilanz</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EinbrKap</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115.000,00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16</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70.000,00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r>
    </w:tbl>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Übernahmebilanz GmbH</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Stammkap</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17.500,00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UngebKRL</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115.000,00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187.500,00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16</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70.000,00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937.500,00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937.500,00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Einbringung ist ertragsteuerneutral. Es fällt keine
Immobilienertragsteuer an.</w:t>
      </w:r>
    </w:p>
    <w:p>
      <w:pPr>
        <w:widowControl w:val="on"/>
        <w:pBdr/>
        <w:spacing w:before="140" w:after="240" w:line="288" w:lineRule="auto"/>
        <w:ind w:left="0" w:right="0"/>
        <w:jc w:val="left"/>
      </w:pPr>
      <w:r>
        <w:rPr>
          <w:rFonts w:ascii="Arial" w:hAnsi="Arial" w:eastAsia="Arial" w:cs="Arial"/>
          <w:color w:val="000000"/>
          <w:sz w:val="20"/>
          <w:szCs w:val="20"/>
        </w:rPr>
        <w:t xml:space="preserve">Die ungebundene Kapitalrücklage kann unter Bedachtnahme auf
§ 4 Abs 12 EStG steuerneutral aufgelöst werden.</w:t>
      </w:r>
    </w:p>
    <w:p>
      <w:pPr>
        <w:widowControl w:val="on"/>
        <w:pBdr/>
        <w:spacing w:before="140" w:after="240" w:line="288" w:lineRule="auto"/>
        <w:ind w:left="0" w:right="0"/>
        <w:jc w:val="left"/>
      </w:pPr>
      <w:r>
        <w:rPr>
          <w:rFonts w:ascii="Arial" w:hAnsi="Arial" w:eastAsia="Arial" w:cs="Arial"/>
          <w:color w:val="000000"/>
          <w:sz w:val="20"/>
          <w:szCs w:val="20"/>
        </w:rPr>
        <w:t xml:space="preserve">Die Passivpost gem § 16 UmgrStG (rückwirkende Entnahme)
kann steuerneutral ausbezahlt werden.</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beträgt einheitlich 0,5 % vom
Grundstückswert (§ 7 Abs 1 Z 2 lit c
GrEStG).</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beträgt bei landwirtschaftlichen
Grundstücken 3,5 % vom Einheitswert (§ 4 Abs 2
Z 4 iVm § 7 Abs 1 Z 3 GrEStG).</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ist bei der übernehmenden GmbH nicht zu
aktivieren, sondern als Betriebsausgabe abzuziehen (§ 11
Abs 1 Z 1 KStG).</w:t>
      </w:r>
    </w:p>
    <w:p>
      <w:pPr>
        <w:widowControl w:val="on"/>
        <w:pBdr/>
        <w:spacing w:before="140" w:after="240" w:line="288" w:lineRule="auto"/>
        <w:ind w:left="0" w:right="0"/>
        <w:jc w:val="left"/>
      </w:pPr>
      <w:r>
        <w:rPr>
          <w:rFonts w:ascii="Arial" w:hAnsi="Arial" w:eastAsia="Arial" w:cs="Arial"/>
          <w:color w:val="000000"/>
          <w:sz w:val="20"/>
          <w:szCs w:val="20"/>
        </w:rPr>
        <w:t xml:space="preserve">Die Grundbuchseintragungsgebühr beträgt 1,1 % vom 3-fachen
Einheitswert, maximal von 30 % vom Verkehrswert.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62929">
    <w:multiLevelType w:val="hybridMultilevel"/>
    <w:lvl w:ilvl="0" w:tplc="36017682">
      <w:start w:val="1"/>
      <w:numFmt w:val="decimal"/>
      <w:lvlText w:val="%1."/>
      <w:lvlJc w:val="left"/>
      <w:pPr>
        <w:ind w:left="720" w:hanging="360"/>
      </w:pPr>
    </w:lvl>
    <w:lvl w:ilvl="1" w:tplc="36017682" w:tentative="1">
      <w:start w:val="1"/>
      <w:numFmt w:val="lowerLetter"/>
      <w:lvlText w:val="%2."/>
      <w:lvlJc w:val="left"/>
      <w:pPr>
        <w:ind w:left="1440" w:hanging="360"/>
      </w:pPr>
    </w:lvl>
    <w:lvl w:ilvl="2" w:tplc="36017682" w:tentative="1">
      <w:start w:val="1"/>
      <w:numFmt w:val="lowerRoman"/>
      <w:lvlText w:val="%3."/>
      <w:lvlJc w:val="right"/>
      <w:pPr>
        <w:ind w:left="2160" w:hanging="180"/>
      </w:pPr>
    </w:lvl>
    <w:lvl w:ilvl="3" w:tplc="36017682" w:tentative="1">
      <w:start w:val="1"/>
      <w:numFmt w:val="decimal"/>
      <w:lvlText w:val="%4."/>
      <w:lvlJc w:val="left"/>
      <w:pPr>
        <w:ind w:left="2880" w:hanging="360"/>
      </w:pPr>
    </w:lvl>
    <w:lvl w:ilvl="4" w:tplc="36017682" w:tentative="1">
      <w:start w:val="1"/>
      <w:numFmt w:val="lowerLetter"/>
      <w:lvlText w:val="%5."/>
      <w:lvlJc w:val="left"/>
      <w:pPr>
        <w:ind w:left="3600" w:hanging="360"/>
      </w:pPr>
    </w:lvl>
    <w:lvl w:ilvl="5" w:tplc="36017682" w:tentative="1">
      <w:start w:val="1"/>
      <w:numFmt w:val="lowerRoman"/>
      <w:lvlText w:val="%6."/>
      <w:lvlJc w:val="right"/>
      <w:pPr>
        <w:ind w:left="4320" w:hanging="180"/>
      </w:pPr>
    </w:lvl>
    <w:lvl w:ilvl="6" w:tplc="36017682" w:tentative="1">
      <w:start w:val="1"/>
      <w:numFmt w:val="decimal"/>
      <w:lvlText w:val="%7."/>
      <w:lvlJc w:val="left"/>
      <w:pPr>
        <w:ind w:left="5040" w:hanging="360"/>
      </w:pPr>
    </w:lvl>
    <w:lvl w:ilvl="7" w:tplc="36017682" w:tentative="1">
      <w:start w:val="1"/>
      <w:numFmt w:val="lowerLetter"/>
      <w:lvlText w:val="%8."/>
      <w:lvlJc w:val="left"/>
      <w:pPr>
        <w:ind w:left="5760" w:hanging="360"/>
      </w:pPr>
    </w:lvl>
    <w:lvl w:ilvl="8" w:tplc="36017682" w:tentative="1">
      <w:start w:val="1"/>
      <w:numFmt w:val="lowerRoman"/>
      <w:lvlText w:val="%9."/>
      <w:lvlJc w:val="right"/>
      <w:pPr>
        <w:ind w:left="6480" w:hanging="180"/>
      </w:pPr>
    </w:lvl>
  </w:abstractNum>
  <w:abstractNum w:abstractNumId="83762928">
    <w:multiLevelType w:val="hybridMultilevel"/>
    <w:lvl w:ilvl="0" w:tplc="54949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62928">
    <w:abstractNumId w:val="83762928"/>
  </w:num>
  <w:num w:numId="83762929">
    <w:abstractNumId w:val="83762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2596322" Type="http://schemas.openxmlformats.org/officeDocument/2006/relationships/numbering" Target="numbering.xml"/><Relationship Id="rId5553164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